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BAA2D">
      <w:pPr>
        <w:spacing w:line="360" w:lineRule="auto"/>
        <w:rPr>
          <w:rFonts w:cs="Times New Roman"/>
          <w:spacing w:val="-2"/>
          <w14:ligatures w14:val="standardContextual"/>
        </w:rPr>
      </w:pPr>
      <w:r>
        <w:rPr>
          <w:rFonts w:hint="eastAsia" w:cs="Times New Roman"/>
          <w:spacing w:val="-2"/>
          <w14:ligatures w14:val="standardContextual"/>
        </w:rPr>
        <w:t>附件1</w:t>
      </w:r>
    </w:p>
    <w:p w14:paraId="25CC5B8A">
      <w:pPr>
        <w:spacing w:line="360" w:lineRule="auto"/>
        <w:jc w:val="center"/>
        <w:rPr>
          <w:rFonts w:eastAsia="方正小标宋简体" w:cs="Times New Roman"/>
          <w:kern w:val="44"/>
          <w:sz w:val="44"/>
          <w:szCs w:val="28"/>
        </w:rPr>
      </w:pPr>
      <w:r>
        <w:rPr>
          <w:rFonts w:hint="eastAsia" w:eastAsia="方正小标宋简体" w:cs="Times New Roman"/>
          <w:kern w:val="44"/>
          <w:sz w:val="44"/>
          <w:szCs w:val="28"/>
        </w:rPr>
        <w:t>技术与商务需求</w:t>
      </w:r>
    </w:p>
    <w:p w14:paraId="2BE072C8">
      <w:pPr>
        <w:numPr>
          <w:ilvl w:val="0"/>
          <w:numId w:val="1"/>
        </w:numPr>
        <w:adjustRightInd w:val="0"/>
        <w:snapToGrid w:val="0"/>
        <w:spacing w:line="360" w:lineRule="auto"/>
        <w:ind w:left="0" w:firstLine="640" w:firstLineChars="200"/>
        <w:rPr>
          <w:rFonts w:eastAsia="黑体" w:cs="Times New Roman"/>
        </w:rPr>
      </w:pPr>
      <w:r>
        <w:rPr>
          <w:rFonts w:hint="eastAsia" w:eastAsia="黑体" w:cs="Times New Roman"/>
        </w:rPr>
        <w:t>技术需求</w:t>
      </w:r>
    </w:p>
    <w:tbl>
      <w:tblPr>
        <w:tblStyle w:val="3"/>
        <w:tblW w:w="9628" w:type="dxa"/>
        <w:tblInd w:w="0" w:type="dxa"/>
        <w:tblLayout w:type="fixed"/>
        <w:tblCellMar>
          <w:top w:w="0" w:type="dxa"/>
          <w:left w:w="108" w:type="dxa"/>
          <w:bottom w:w="0" w:type="dxa"/>
          <w:right w:w="108" w:type="dxa"/>
        </w:tblCellMar>
      </w:tblPr>
      <w:tblGrid>
        <w:gridCol w:w="738"/>
        <w:gridCol w:w="988"/>
        <w:gridCol w:w="7902"/>
      </w:tblGrid>
      <w:tr w14:paraId="12D5EC0B">
        <w:tblPrEx>
          <w:tblCellMar>
            <w:top w:w="0" w:type="dxa"/>
            <w:left w:w="108" w:type="dxa"/>
            <w:bottom w:w="0" w:type="dxa"/>
            <w:right w:w="108" w:type="dxa"/>
          </w:tblCellMar>
        </w:tblPrEx>
        <w:trPr>
          <w:trHeight w:val="1133" w:hRule="atLeast"/>
        </w:trPr>
        <w:tc>
          <w:tcPr>
            <w:tcW w:w="738" w:type="dxa"/>
            <w:tcBorders>
              <w:top w:val="single" w:color="auto" w:sz="4" w:space="0"/>
              <w:left w:val="single" w:color="auto" w:sz="4" w:space="0"/>
              <w:bottom w:val="single" w:color="auto" w:sz="4" w:space="0"/>
              <w:right w:val="single" w:color="auto" w:sz="4" w:space="0"/>
            </w:tcBorders>
            <w:vAlign w:val="center"/>
          </w:tcPr>
          <w:p w14:paraId="5CA03E98">
            <w:pPr>
              <w:widowControl/>
              <w:spacing w:line="360" w:lineRule="auto"/>
              <w:jc w:val="left"/>
              <w:rPr>
                <w:sz w:val="24"/>
                <w:szCs w:val="24"/>
              </w:rPr>
            </w:pPr>
            <w:r>
              <w:rPr>
                <w:rFonts w:hint="eastAsia"/>
                <w:sz w:val="24"/>
                <w:szCs w:val="24"/>
              </w:rPr>
              <w:t>1</w:t>
            </w:r>
          </w:p>
        </w:tc>
        <w:tc>
          <w:tcPr>
            <w:tcW w:w="988" w:type="dxa"/>
            <w:tcBorders>
              <w:top w:val="single" w:color="auto" w:sz="4" w:space="0"/>
              <w:left w:val="single" w:color="auto" w:sz="4" w:space="0"/>
              <w:bottom w:val="single" w:color="auto" w:sz="4" w:space="0"/>
              <w:right w:val="single" w:color="auto" w:sz="4" w:space="0"/>
            </w:tcBorders>
            <w:noWrap/>
            <w:vAlign w:val="center"/>
          </w:tcPr>
          <w:p w14:paraId="0A8E2231">
            <w:pPr>
              <w:widowControl/>
              <w:spacing w:line="360" w:lineRule="auto"/>
              <w:jc w:val="left"/>
              <w:rPr>
                <w:sz w:val="24"/>
                <w:szCs w:val="24"/>
              </w:rPr>
            </w:pPr>
            <w:r>
              <w:rPr>
                <w:rFonts w:hint="eastAsia"/>
                <w:sz w:val="24"/>
                <w:szCs w:val="24"/>
              </w:rPr>
              <w:t>生物样本库50万张数字病理切片扫描服务</w:t>
            </w:r>
          </w:p>
        </w:tc>
        <w:tc>
          <w:tcPr>
            <w:tcW w:w="7902" w:type="dxa"/>
            <w:tcBorders>
              <w:top w:val="single" w:color="auto" w:sz="4" w:space="0"/>
              <w:left w:val="single" w:color="auto" w:sz="4" w:space="0"/>
              <w:bottom w:val="single" w:color="auto" w:sz="4" w:space="0"/>
              <w:right w:val="single" w:color="auto" w:sz="4" w:space="0"/>
            </w:tcBorders>
            <w:vAlign w:val="center"/>
          </w:tcPr>
          <w:p w14:paraId="09C26488">
            <w:pPr>
              <w:widowControl/>
              <w:spacing w:line="360" w:lineRule="auto"/>
              <w:jc w:val="left"/>
              <w:rPr>
                <w:sz w:val="24"/>
                <w:szCs w:val="24"/>
              </w:rPr>
            </w:pPr>
            <w:r>
              <w:rPr>
                <w:rFonts w:hint="eastAsia"/>
                <w:sz w:val="24"/>
                <w:szCs w:val="24"/>
              </w:rPr>
              <w:t>1、目的</w:t>
            </w:r>
          </w:p>
          <w:p w14:paraId="019767C3">
            <w:pPr>
              <w:widowControl/>
              <w:spacing w:line="360" w:lineRule="auto"/>
              <w:jc w:val="left"/>
              <w:rPr>
                <w:sz w:val="24"/>
                <w:szCs w:val="24"/>
              </w:rPr>
            </w:pPr>
            <w:r>
              <w:rPr>
                <w:rFonts w:hint="eastAsia"/>
                <w:sz w:val="24"/>
                <w:szCs w:val="24"/>
              </w:rPr>
              <w:t>为确保生物样本库广东省 50 万张病理切片数字化扫描工作的规范性、准确性和完整性，保障数字病理切片图像质量符合临床研究、教学及科研应用需求，实现病理切片的长期数字化保存与高效共享，特明确本项驻点扫描服务的技术要求，规范扫描全流程操作，规避扫描过程中切片损坏、图像失真等风险。</w:t>
            </w:r>
          </w:p>
          <w:p w14:paraId="287459B7">
            <w:pPr>
              <w:widowControl/>
              <w:spacing w:line="360" w:lineRule="auto"/>
              <w:jc w:val="left"/>
              <w:rPr>
                <w:sz w:val="24"/>
                <w:szCs w:val="24"/>
              </w:rPr>
            </w:pPr>
            <w:r>
              <w:rPr>
                <w:rFonts w:hint="eastAsia"/>
                <w:sz w:val="24"/>
                <w:szCs w:val="24"/>
              </w:rPr>
              <w:t>2、服务范围及次数</w:t>
            </w:r>
          </w:p>
          <w:p w14:paraId="12A28BF7">
            <w:pPr>
              <w:widowControl/>
              <w:spacing w:line="360" w:lineRule="auto"/>
              <w:jc w:val="left"/>
              <w:rPr>
                <w:sz w:val="24"/>
                <w:szCs w:val="24"/>
              </w:rPr>
            </w:pPr>
            <w:r>
              <w:rPr>
                <w:rFonts w:hint="eastAsia"/>
                <w:sz w:val="24"/>
                <w:szCs w:val="24"/>
              </w:rPr>
              <w:t>2.1 服务范围</w:t>
            </w:r>
          </w:p>
          <w:p w14:paraId="00E0307A">
            <w:pPr>
              <w:widowControl/>
              <w:spacing w:line="360" w:lineRule="auto"/>
              <w:jc w:val="left"/>
              <w:rPr>
                <w:sz w:val="24"/>
                <w:szCs w:val="24"/>
              </w:rPr>
            </w:pPr>
            <w:r>
              <w:rPr>
                <w:rFonts w:hint="eastAsia"/>
                <w:sz w:val="24"/>
                <w:szCs w:val="24"/>
              </w:rPr>
              <w:t>覆盖生物样本库广东省内共计 50 万张病理切片的驻点数字化扫描服务，包括石蜡切片、冰冻切片等常见类型切片。扫描团队需在生物样本库指定驻点场所开展工作，严格遵循样本库的安全管理及生物安全相关规定，负责切片接收、核对、扫描、图像存储、切片回库等全流程服务。</w:t>
            </w:r>
          </w:p>
          <w:p w14:paraId="33B07AD2">
            <w:pPr>
              <w:widowControl/>
              <w:spacing w:line="360" w:lineRule="auto"/>
              <w:jc w:val="left"/>
              <w:rPr>
                <w:sz w:val="24"/>
                <w:szCs w:val="24"/>
              </w:rPr>
            </w:pPr>
            <w:r>
              <w:rPr>
                <w:rFonts w:hint="eastAsia"/>
                <w:sz w:val="24"/>
                <w:szCs w:val="24"/>
              </w:rPr>
              <w:t>2.2 服务次数</w:t>
            </w:r>
          </w:p>
          <w:p w14:paraId="146498DB">
            <w:pPr>
              <w:widowControl/>
              <w:spacing w:line="360" w:lineRule="auto"/>
              <w:jc w:val="left"/>
              <w:rPr>
                <w:sz w:val="24"/>
                <w:szCs w:val="24"/>
              </w:rPr>
            </w:pPr>
            <w:r>
              <w:rPr>
                <w:rFonts w:hint="eastAsia"/>
                <w:sz w:val="24"/>
                <w:szCs w:val="24"/>
              </w:rPr>
              <w:t>以完成 50 万张病理切片的符合质量标准的数字化扫描为 1 次完整服务。可根据生物样本库切片存量及使用需求，分阶段开展扫描工作，每阶段完成的扫描数量需经双方确认，阶段工作完成视为该阶段服务结束。</w:t>
            </w:r>
          </w:p>
          <w:p w14:paraId="7248C69F">
            <w:pPr>
              <w:widowControl/>
              <w:spacing w:line="360" w:lineRule="auto"/>
              <w:jc w:val="left"/>
              <w:rPr>
                <w:sz w:val="24"/>
                <w:szCs w:val="24"/>
              </w:rPr>
            </w:pPr>
            <w:r>
              <w:rPr>
                <w:rFonts w:hint="eastAsia"/>
                <w:sz w:val="24"/>
                <w:szCs w:val="24"/>
              </w:rPr>
              <w:t>3、切片接收与核对检查</w:t>
            </w:r>
          </w:p>
          <w:p w14:paraId="6CF8C363">
            <w:pPr>
              <w:widowControl/>
              <w:spacing w:line="360" w:lineRule="auto"/>
              <w:jc w:val="left"/>
              <w:rPr>
                <w:sz w:val="24"/>
                <w:szCs w:val="24"/>
              </w:rPr>
            </w:pPr>
            <w:r>
              <w:rPr>
                <w:rFonts w:hint="eastAsia"/>
                <w:sz w:val="24"/>
                <w:szCs w:val="24"/>
              </w:rPr>
              <w:t>3.1 切片接收</w:t>
            </w:r>
          </w:p>
          <w:p w14:paraId="1E6C9019">
            <w:pPr>
              <w:widowControl/>
              <w:spacing w:line="360" w:lineRule="auto"/>
              <w:jc w:val="left"/>
              <w:rPr>
                <w:sz w:val="24"/>
                <w:szCs w:val="24"/>
              </w:rPr>
            </w:pPr>
            <w:r>
              <w:rPr>
                <w:rFonts w:hint="eastAsia"/>
                <w:sz w:val="24"/>
                <w:szCs w:val="24"/>
              </w:rPr>
              <w:t>驻点扫描团队需安排专人与生物样本库管理人员对接，按照样本库提供的切片清单逐一接收病理切片，核对切片数量、编号、样本信息（包括患者 ID、标本类型、切片类型等），确保接收的切片与清单信息一致。</w:t>
            </w:r>
          </w:p>
          <w:p w14:paraId="45E0CE8C">
            <w:pPr>
              <w:widowControl/>
              <w:spacing w:line="360" w:lineRule="auto"/>
              <w:jc w:val="left"/>
              <w:rPr>
                <w:sz w:val="24"/>
                <w:szCs w:val="24"/>
              </w:rPr>
            </w:pPr>
            <w:r>
              <w:rPr>
                <w:rFonts w:hint="eastAsia"/>
                <w:sz w:val="24"/>
                <w:szCs w:val="24"/>
              </w:rPr>
              <w:t>3.2 切片状态检查</w:t>
            </w:r>
          </w:p>
          <w:p w14:paraId="5C60A4ED">
            <w:pPr>
              <w:widowControl/>
              <w:spacing w:line="360" w:lineRule="auto"/>
              <w:jc w:val="left"/>
              <w:rPr>
                <w:sz w:val="24"/>
                <w:szCs w:val="24"/>
              </w:rPr>
            </w:pPr>
            <w:r>
              <w:rPr>
                <w:rFonts w:hint="eastAsia"/>
                <w:sz w:val="24"/>
                <w:szCs w:val="24"/>
              </w:rPr>
              <w:t>接收切片后，需对每一张切片的物理状态进行检查，包括切片是否完整、有无裂痕、褶皱、脱片、染色不均等情况，同时检查切片标签是否清晰、信息是否完整。对存在问题的切片，需详细记录问题类型及数量，拍摄典型问题切片图片，及时反馈给生物样本库管理人员，待确认处理方案后再进行后续操作。</w:t>
            </w:r>
          </w:p>
          <w:p w14:paraId="02A410A9">
            <w:pPr>
              <w:widowControl/>
              <w:spacing w:line="360" w:lineRule="auto"/>
              <w:jc w:val="left"/>
              <w:rPr>
                <w:sz w:val="24"/>
                <w:szCs w:val="24"/>
              </w:rPr>
            </w:pPr>
            <w:r>
              <w:rPr>
                <w:rFonts w:hint="eastAsia"/>
                <w:sz w:val="24"/>
                <w:szCs w:val="24"/>
              </w:rPr>
              <w:t>3.3 信息存档</w:t>
            </w:r>
          </w:p>
          <w:p w14:paraId="6B1FE0D5">
            <w:pPr>
              <w:widowControl/>
              <w:spacing w:line="360" w:lineRule="auto"/>
              <w:jc w:val="left"/>
              <w:rPr>
                <w:sz w:val="24"/>
                <w:szCs w:val="24"/>
              </w:rPr>
            </w:pPr>
            <w:r>
              <w:rPr>
                <w:rFonts w:hint="eastAsia"/>
                <w:sz w:val="24"/>
                <w:szCs w:val="24"/>
              </w:rPr>
              <w:t>对接收及检查过程做好详细文字记录，包括接收日期、切片数量、编号范围、问题切片情况等，并选择性拍摄 10 张典型切片接收及检查现场图片（含正常切片及问题切片），与文字记录一同存档，作为后续工作的基础依据。</w:t>
            </w:r>
          </w:p>
          <w:p w14:paraId="4101497C">
            <w:pPr>
              <w:widowControl/>
              <w:spacing w:line="360" w:lineRule="auto"/>
              <w:jc w:val="left"/>
              <w:rPr>
                <w:sz w:val="24"/>
                <w:szCs w:val="24"/>
              </w:rPr>
            </w:pPr>
            <w:r>
              <w:rPr>
                <w:rFonts w:hint="eastAsia"/>
                <w:sz w:val="24"/>
                <w:szCs w:val="24"/>
              </w:rPr>
              <w:t>4、数字病理切片驻点扫描步骤</w:t>
            </w:r>
          </w:p>
          <w:p w14:paraId="696CFF6C">
            <w:pPr>
              <w:widowControl/>
              <w:spacing w:line="360" w:lineRule="auto"/>
              <w:jc w:val="left"/>
              <w:rPr>
                <w:sz w:val="24"/>
                <w:szCs w:val="24"/>
              </w:rPr>
            </w:pPr>
            <w:r>
              <w:rPr>
                <w:rFonts w:hint="eastAsia"/>
                <w:sz w:val="24"/>
                <w:szCs w:val="24"/>
              </w:rPr>
              <w:t>4.1 扫描前准备</w:t>
            </w:r>
          </w:p>
          <w:p w14:paraId="158FC939">
            <w:pPr>
              <w:widowControl/>
              <w:spacing w:line="360" w:lineRule="auto"/>
              <w:jc w:val="left"/>
              <w:rPr>
                <w:sz w:val="24"/>
                <w:szCs w:val="24"/>
              </w:rPr>
            </w:pPr>
            <w:r>
              <w:rPr>
                <w:rFonts w:hint="eastAsia"/>
                <w:sz w:val="24"/>
                <w:szCs w:val="24"/>
              </w:rPr>
              <w:t>4.1.1 设备调试</w:t>
            </w:r>
          </w:p>
          <w:p w14:paraId="48275444">
            <w:pPr>
              <w:widowControl/>
              <w:spacing w:line="360" w:lineRule="auto"/>
              <w:jc w:val="left"/>
              <w:rPr>
                <w:sz w:val="24"/>
                <w:szCs w:val="24"/>
              </w:rPr>
            </w:pPr>
            <w:r>
              <w:rPr>
                <w:rFonts w:hint="eastAsia"/>
                <w:sz w:val="24"/>
                <w:szCs w:val="24"/>
              </w:rPr>
              <w:t>驻点扫描团队需在指定场所安装调试数字病理切片扫描仪、计算机、存储设备等相关设备，确保设备运行稳定。扫描仪需满足 20 倍物镜下分辨率不低于 0.23μm/pixel，40 倍物镜下分辨率不低于 0.11μm/pixel，图像拼接精度误差不超过 1%，色彩还原度与原始切片一致性偏差不超过 5%。 4.1.2 环境准备</w:t>
            </w:r>
          </w:p>
          <w:p w14:paraId="27D89643">
            <w:pPr>
              <w:widowControl/>
              <w:spacing w:line="360" w:lineRule="auto"/>
              <w:jc w:val="left"/>
              <w:rPr>
                <w:sz w:val="24"/>
                <w:szCs w:val="24"/>
              </w:rPr>
            </w:pPr>
            <w:r>
              <w:rPr>
                <w:rFonts w:hint="eastAsia"/>
                <w:sz w:val="24"/>
                <w:szCs w:val="24"/>
              </w:rPr>
              <w:t>确保驻点扫描场所温度控制在 18-25℃，相对湿度控制在 40%-60%，避免灰尘、强光直射及振动等影响设备运行和扫描质量的因素，同时做好设备接地、防静电等防护措施。</w:t>
            </w:r>
          </w:p>
          <w:p w14:paraId="3B094ED9">
            <w:pPr>
              <w:widowControl/>
              <w:spacing w:line="360" w:lineRule="auto"/>
              <w:jc w:val="left"/>
              <w:rPr>
                <w:sz w:val="24"/>
                <w:szCs w:val="24"/>
              </w:rPr>
            </w:pPr>
            <w:r>
              <w:rPr>
                <w:rFonts w:hint="eastAsia"/>
                <w:sz w:val="24"/>
                <w:szCs w:val="24"/>
              </w:rPr>
              <w:t>4.1.3 人员准备</w:t>
            </w:r>
          </w:p>
          <w:p w14:paraId="6F22B1BF">
            <w:pPr>
              <w:widowControl/>
              <w:spacing w:line="360" w:lineRule="auto"/>
              <w:jc w:val="left"/>
              <w:rPr>
                <w:sz w:val="24"/>
                <w:szCs w:val="24"/>
              </w:rPr>
            </w:pPr>
            <w:r>
              <w:rPr>
                <w:rFonts w:hint="eastAsia"/>
                <w:sz w:val="24"/>
                <w:szCs w:val="24"/>
              </w:rPr>
              <w:t>扫描操作人员需具备相关专业背景及数字病理切片扫描操作经验，经生物样本库及扫描服务提供方双重培训合格后方可上岗，熟悉设备操作规程及样本库安全管理规定，如培训后考试不满足生物样本库规定分数，该人员不得继续参与此项目中，扫描服务方需另行安排人员参与培训考试，在此期间的延误金凤实验室将按照项目总额的1%/天进行费用扣除。</w:t>
            </w:r>
          </w:p>
          <w:p w14:paraId="2109E134">
            <w:pPr>
              <w:widowControl/>
              <w:spacing w:line="360" w:lineRule="auto"/>
              <w:jc w:val="left"/>
              <w:rPr>
                <w:sz w:val="24"/>
                <w:szCs w:val="24"/>
              </w:rPr>
            </w:pPr>
            <w:r>
              <w:rPr>
                <w:rFonts w:hint="eastAsia"/>
                <w:sz w:val="24"/>
                <w:szCs w:val="24"/>
              </w:rPr>
              <w:t>4.2 切片装载与参数设置</w:t>
            </w:r>
          </w:p>
          <w:p w14:paraId="13114243">
            <w:pPr>
              <w:widowControl/>
              <w:spacing w:line="360" w:lineRule="auto"/>
              <w:jc w:val="left"/>
              <w:rPr>
                <w:sz w:val="24"/>
                <w:szCs w:val="24"/>
              </w:rPr>
            </w:pPr>
            <w:r>
              <w:rPr>
                <w:rFonts w:hint="eastAsia"/>
                <w:sz w:val="24"/>
                <w:szCs w:val="24"/>
              </w:rPr>
              <w:t>将核对无误的病理切片按照扫描仪操作规程正确装载，根据切片类型（石蜡 / 冰冻）、染色方式及应用需求，合理设置扫描参数，包括物镜倍数（常规采用 20 倍，特殊需求可选用 40 倍）、扫描范围、分辨率、色彩模式等，并进行预扫描测试，调整参数至最佳状态。</w:t>
            </w:r>
          </w:p>
          <w:p w14:paraId="1827CAED">
            <w:pPr>
              <w:widowControl/>
              <w:spacing w:line="360" w:lineRule="auto"/>
              <w:jc w:val="left"/>
              <w:rPr>
                <w:sz w:val="24"/>
                <w:szCs w:val="24"/>
              </w:rPr>
            </w:pPr>
            <w:r>
              <w:rPr>
                <w:rFonts w:hint="eastAsia"/>
                <w:sz w:val="24"/>
                <w:szCs w:val="24"/>
              </w:rPr>
              <w:t>4.3 数字化扫描</w:t>
            </w:r>
          </w:p>
          <w:p w14:paraId="49A09D9F">
            <w:pPr>
              <w:widowControl/>
              <w:spacing w:line="360" w:lineRule="auto"/>
              <w:jc w:val="left"/>
              <w:rPr>
                <w:sz w:val="24"/>
                <w:szCs w:val="24"/>
              </w:rPr>
            </w:pPr>
            <w:r>
              <w:rPr>
                <w:rFonts w:hint="eastAsia"/>
                <w:sz w:val="24"/>
                <w:szCs w:val="24"/>
              </w:rPr>
              <w:t>按照设置好的参数启动扫描程序，扫描过程中操作人员需全程值守，实时监控扫描进度及图像质量，及时处理扫描过程中出现的切片移位、图像模糊等问题。每完成 100 例切片扫描，需暂停设备运行 5-10 分钟，进行设备短暂冷却及状态检查，并填写记录表。</w:t>
            </w:r>
          </w:p>
          <w:p w14:paraId="31CBA717">
            <w:pPr>
              <w:widowControl/>
              <w:spacing w:line="360" w:lineRule="auto"/>
              <w:jc w:val="left"/>
              <w:rPr>
                <w:sz w:val="24"/>
                <w:szCs w:val="24"/>
              </w:rPr>
            </w:pPr>
            <w:r>
              <w:rPr>
                <w:rFonts w:hint="eastAsia"/>
                <w:sz w:val="24"/>
                <w:szCs w:val="24"/>
              </w:rPr>
              <w:t>4.4 图像质量初检</w:t>
            </w:r>
          </w:p>
          <w:p w14:paraId="6CD5FE63">
            <w:pPr>
              <w:widowControl/>
              <w:spacing w:line="360" w:lineRule="auto"/>
              <w:jc w:val="left"/>
              <w:rPr>
                <w:sz w:val="24"/>
                <w:szCs w:val="24"/>
              </w:rPr>
            </w:pPr>
            <w:r>
              <w:rPr>
                <w:rFonts w:hint="eastAsia"/>
                <w:sz w:val="24"/>
                <w:szCs w:val="24"/>
              </w:rPr>
              <w:t>扫描完成后，操作人员需对数字病理切片图像进行逐一初检，检查图像是否完整、有无拼接错位、焦点不实、色彩失真、污渍等问题，对不合格图像及时标记并重新扫描。</w:t>
            </w:r>
          </w:p>
          <w:p w14:paraId="688CFE6B">
            <w:pPr>
              <w:widowControl/>
              <w:spacing w:line="360" w:lineRule="auto"/>
              <w:jc w:val="left"/>
              <w:rPr>
                <w:sz w:val="24"/>
                <w:szCs w:val="24"/>
              </w:rPr>
            </w:pPr>
            <w:r>
              <w:rPr>
                <w:rFonts w:hint="eastAsia"/>
                <w:sz w:val="24"/>
                <w:szCs w:val="24"/>
              </w:rPr>
              <w:t>4.5 切片回收整理</w:t>
            </w:r>
          </w:p>
          <w:p w14:paraId="040942CA">
            <w:pPr>
              <w:widowControl/>
              <w:spacing w:line="360" w:lineRule="auto"/>
              <w:jc w:val="left"/>
              <w:rPr>
                <w:sz w:val="24"/>
                <w:szCs w:val="24"/>
              </w:rPr>
            </w:pPr>
            <w:r>
              <w:rPr>
                <w:rFonts w:hint="eastAsia"/>
                <w:sz w:val="24"/>
                <w:szCs w:val="24"/>
              </w:rPr>
              <w:t>初检合格后，将病理切片从扫描仪上取下，按照接收时的编号顺序进行整理，检查切片是否完好无损，确保无切片丢失、损坏情况，然后暂存于专用切片储存盒中，等待后续回库。</w:t>
            </w:r>
          </w:p>
          <w:p w14:paraId="7253F2C8">
            <w:pPr>
              <w:widowControl/>
              <w:spacing w:line="360" w:lineRule="auto"/>
              <w:jc w:val="left"/>
              <w:rPr>
                <w:sz w:val="24"/>
                <w:szCs w:val="24"/>
              </w:rPr>
            </w:pPr>
            <w:r>
              <w:rPr>
                <w:rFonts w:hint="eastAsia"/>
                <w:sz w:val="24"/>
                <w:szCs w:val="24"/>
              </w:rPr>
              <w:t>4.6 数字图像存储与备份</w:t>
            </w:r>
          </w:p>
          <w:p w14:paraId="1995D3BA">
            <w:pPr>
              <w:widowControl/>
              <w:spacing w:line="360" w:lineRule="auto"/>
              <w:jc w:val="left"/>
              <w:rPr>
                <w:sz w:val="24"/>
                <w:szCs w:val="24"/>
              </w:rPr>
            </w:pPr>
            <w:r>
              <w:rPr>
                <w:rFonts w:hint="eastAsia"/>
                <w:sz w:val="24"/>
                <w:szCs w:val="24"/>
              </w:rPr>
              <w:t>将初检合格的数字病理切片图像按照生物样本库指定的文件格式（如 SQS、KFB 等）及命名规则进行命名，存储至指定的本地存储设备中。同时按照 “双重备份、异地存放” 的原则，完成图像数据的备份工作，确保数据安全。</w:t>
            </w:r>
          </w:p>
          <w:p w14:paraId="23E83DCB">
            <w:pPr>
              <w:widowControl/>
              <w:spacing w:line="360" w:lineRule="auto"/>
              <w:jc w:val="left"/>
              <w:rPr>
                <w:sz w:val="24"/>
                <w:szCs w:val="24"/>
              </w:rPr>
            </w:pPr>
            <w:r>
              <w:rPr>
                <w:rFonts w:hint="eastAsia"/>
                <w:sz w:val="24"/>
                <w:szCs w:val="24"/>
              </w:rPr>
              <w:t>4.7 图像质量复检</w:t>
            </w:r>
          </w:p>
          <w:p w14:paraId="1F976991">
            <w:pPr>
              <w:widowControl/>
              <w:spacing w:line="360" w:lineRule="auto"/>
              <w:jc w:val="left"/>
              <w:rPr>
                <w:sz w:val="24"/>
                <w:szCs w:val="24"/>
              </w:rPr>
            </w:pPr>
            <w:r>
              <w:rPr>
                <w:rFonts w:hint="eastAsia"/>
                <w:sz w:val="24"/>
                <w:szCs w:val="24"/>
              </w:rPr>
              <w:t>驻点扫描团队需安排专人对存储后的数字病理切片图像进行复检，复检比例不低于扫描总量的 5%，重点检查图像分辨率、拼接精度、色彩还原度等关键指标是否符合要求。复检合格后，拍摄 5 张不同类型的合格数字病理切片图像范例，与扫描记录一同存档。</w:t>
            </w:r>
          </w:p>
          <w:p w14:paraId="0EB9AAD5">
            <w:pPr>
              <w:widowControl/>
              <w:spacing w:line="360" w:lineRule="auto"/>
              <w:jc w:val="left"/>
              <w:rPr>
                <w:sz w:val="24"/>
                <w:szCs w:val="24"/>
              </w:rPr>
            </w:pPr>
            <w:r>
              <w:rPr>
                <w:rFonts w:hint="eastAsia"/>
                <w:sz w:val="24"/>
                <w:szCs w:val="24"/>
              </w:rPr>
              <w:t>5、驻点设备维护及安全管理</w:t>
            </w:r>
          </w:p>
          <w:p w14:paraId="03DB67FA">
            <w:pPr>
              <w:widowControl/>
              <w:spacing w:line="360" w:lineRule="auto"/>
              <w:jc w:val="left"/>
              <w:rPr>
                <w:sz w:val="24"/>
                <w:szCs w:val="24"/>
              </w:rPr>
            </w:pPr>
            <w:r>
              <w:rPr>
                <w:rFonts w:hint="eastAsia"/>
                <w:sz w:val="24"/>
                <w:szCs w:val="24"/>
              </w:rPr>
              <w:t>5.1 设备日常维护</w:t>
            </w:r>
          </w:p>
          <w:p w14:paraId="133096F3">
            <w:pPr>
              <w:widowControl/>
              <w:spacing w:line="360" w:lineRule="auto"/>
              <w:jc w:val="left"/>
              <w:rPr>
                <w:sz w:val="24"/>
                <w:szCs w:val="24"/>
              </w:rPr>
            </w:pPr>
            <w:r>
              <w:rPr>
                <w:rFonts w:hint="eastAsia"/>
                <w:sz w:val="24"/>
                <w:szCs w:val="24"/>
              </w:rPr>
              <w:t>每日扫描工作开始前及结束后，需对数字病理切片扫描仪、计算机等设备进行清洁维护，包括擦拭设备表面灰尘、清洁扫描仪镜头及载物台，检查设备线路连接是否牢固，确保设备处于良好运行状态。每周进行一次设备全面检查，包括硬件性能测试、软件运行状态检查，及时排查设备潜在故障。</w:t>
            </w:r>
          </w:p>
          <w:p w14:paraId="4A1B9370">
            <w:pPr>
              <w:widowControl/>
              <w:spacing w:line="360" w:lineRule="auto"/>
              <w:jc w:val="left"/>
              <w:rPr>
                <w:sz w:val="24"/>
                <w:szCs w:val="24"/>
              </w:rPr>
            </w:pPr>
            <w:r>
              <w:rPr>
                <w:rFonts w:hint="eastAsia"/>
                <w:sz w:val="24"/>
                <w:szCs w:val="24"/>
              </w:rPr>
              <w:t>5.2 数据安全管理</w:t>
            </w:r>
          </w:p>
          <w:p w14:paraId="1EF3FB25">
            <w:pPr>
              <w:widowControl/>
              <w:spacing w:line="360" w:lineRule="auto"/>
              <w:jc w:val="left"/>
              <w:rPr>
                <w:sz w:val="24"/>
                <w:szCs w:val="24"/>
              </w:rPr>
            </w:pPr>
            <w:r>
              <w:rPr>
                <w:rFonts w:hint="eastAsia"/>
                <w:sz w:val="24"/>
                <w:szCs w:val="24"/>
              </w:rPr>
              <w:t>严格遵守生物样本库数据安全管理规定，驻点扫描团队人员不得擅自拷贝、外传数字病理切片图像及相关样本信息。扫描所用计算机需安装正版杀毒软件，定期进行病毒查杀，禁止连接非工作网络及外接存储设备（经样本库管理人员授权除外）。</w:t>
            </w:r>
          </w:p>
          <w:p w14:paraId="10F66A8C">
            <w:pPr>
              <w:widowControl/>
              <w:spacing w:line="360" w:lineRule="auto"/>
              <w:jc w:val="left"/>
              <w:rPr>
                <w:sz w:val="24"/>
                <w:szCs w:val="24"/>
              </w:rPr>
            </w:pPr>
            <w:r>
              <w:rPr>
                <w:rFonts w:hint="eastAsia"/>
                <w:sz w:val="24"/>
                <w:szCs w:val="24"/>
              </w:rPr>
              <w:t>5.3 生物安全管理</w:t>
            </w:r>
          </w:p>
          <w:p w14:paraId="586247DD">
            <w:pPr>
              <w:widowControl/>
              <w:spacing w:line="360" w:lineRule="auto"/>
              <w:jc w:val="left"/>
              <w:rPr>
                <w:sz w:val="24"/>
                <w:szCs w:val="24"/>
              </w:rPr>
            </w:pPr>
            <w:r>
              <w:rPr>
                <w:rFonts w:hint="eastAsia"/>
                <w:sz w:val="24"/>
                <w:szCs w:val="24"/>
              </w:rPr>
              <w:t>在切片接收、扫描、回收过程中，严格遵守生物安全操作规范，操作人员需佩戴一次性手套、口罩等防护用品，如遇切片破损、组织脱落等情况，需按照样本库生物安全应急处理流程及时处理，避免生物安全风险。</w:t>
            </w:r>
          </w:p>
          <w:p w14:paraId="4D6BBC4E">
            <w:pPr>
              <w:widowControl/>
              <w:spacing w:line="360" w:lineRule="auto"/>
              <w:jc w:val="left"/>
              <w:rPr>
                <w:sz w:val="24"/>
                <w:szCs w:val="24"/>
              </w:rPr>
            </w:pPr>
            <w:r>
              <w:rPr>
                <w:rFonts w:hint="eastAsia"/>
                <w:sz w:val="24"/>
                <w:szCs w:val="24"/>
              </w:rPr>
              <w:t>5.4 场地安全管理</w:t>
            </w:r>
          </w:p>
          <w:p w14:paraId="3923E011">
            <w:pPr>
              <w:widowControl/>
              <w:spacing w:line="360" w:lineRule="auto"/>
              <w:jc w:val="left"/>
              <w:rPr>
                <w:sz w:val="24"/>
                <w:szCs w:val="24"/>
              </w:rPr>
            </w:pPr>
            <w:r>
              <w:rPr>
                <w:rFonts w:hint="eastAsia"/>
                <w:sz w:val="24"/>
                <w:szCs w:val="24"/>
              </w:rPr>
              <w:t>保持驻点扫描场所整洁有序，严禁存放易燃易爆、有毒有害等危险品，遵守样本库消防安全规定，熟练掌握消防器材使用方法，每日下班前检查水、电、设备开关是否关闭，确保场地安全。</w:t>
            </w:r>
          </w:p>
          <w:p w14:paraId="3057BCF3">
            <w:pPr>
              <w:widowControl/>
              <w:spacing w:line="360" w:lineRule="auto"/>
              <w:jc w:val="left"/>
              <w:rPr>
                <w:sz w:val="24"/>
                <w:szCs w:val="24"/>
              </w:rPr>
            </w:pPr>
            <w:r>
              <w:rPr>
                <w:rFonts w:hint="eastAsia"/>
                <w:sz w:val="24"/>
                <w:szCs w:val="24"/>
              </w:rPr>
              <w:t>6、验收</w:t>
            </w:r>
          </w:p>
          <w:p w14:paraId="30F888C6">
            <w:pPr>
              <w:widowControl/>
              <w:spacing w:line="360" w:lineRule="auto"/>
              <w:jc w:val="left"/>
              <w:rPr>
                <w:sz w:val="24"/>
                <w:szCs w:val="24"/>
              </w:rPr>
            </w:pPr>
            <w:r>
              <w:rPr>
                <w:rFonts w:hint="eastAsia"/>
                <w:sz w:val="24"/>
                <w:szCs w:val="24"/>
              </w:rPr>
              <w:t>6.1 过程及结果记录</w:t>
            </w:r>
          </w:p>
          <w:p w14:paraId="49A3ED3E">
            <w:pPr>
              <w:widowControl/>
              <w:spacing w:line="360" w:lineRule="auto"/>
              <w:jc w:val="left"/>
              <w:rPr>
                <w:sz w:val="24"/>
                <w:szCs w:val="24"/>
              </w:rPr>
            </w:pPr>
            <w:r>
              <w:rPr>
                <w:rFonts w:hint="eastAsia"/>
                <w:sz w:val="24"/>
                <w:szCs w:val="24"/>
              </w:rPr>
              <w:t>每次阶段性扫描服务及完整服务完成后，驻点扫描团队需提交详细的服务报告，包括该阶段扫描切片数量、编号范围、扫描参数、图像质量检查结果、问题处理记录、设备运行情况等内容，并附相关文字记录、图片资料及数字病理切片图像清单。</w:t>
            </w:r>
          </w:p>
          <w:p w14:paraId="30D15125">
            <w:pPr>
              <w:widowControl/>
              <w:spacing w:line="360" w:lineRule="auto"/>
              <w:jc w:val="left"/>
              <w:rPr>
                <w:sz w:val="24"/>
                <w:szCs w:val="24"/>
              </w:rPr>
            </w:pPr>
            <w:r>
              <w:rPr>
                <w:rFonts w:hint="eastAsia"/>
                <w:sz w:val="24"/>
                <w:szCs w:val="24"/>
              </w:rPr>
              <w:t>6.2 验收标准及流程</w:t>
            </w:r>
          </w:p>
          <w:p w14:paraId="6922C850">
            <w:pPr>
              <w:widowControl/>
              <w:spacing w:line="360" w:lineRule="auto"/>
              <w:jc w:val="left"/>
              <w:rPr>
                <w:sz w:val="24"/>
                <w:szCs w:val="24"/>
              </w:rPr>
            </w:pPr>
            <w:bookmarkStart w:id="0" w:name="OLE_LINK4"/>
            <w:r>
              <w:rPr>
                <w:rFonts w:hint="eastAsia"/>
                <w:sz w:val="24"/>
                <w:szCs w:val="24"/>
              </w:rPr>
              <w:t>生物样本库管理人员按照以下标准进行验收：①扫描切片数量与清单一致，无丢失、损坏；②数字病理切片图像分辨率、拼接精度、色彩还原度等指标符合技术要求；③数据存储及备份符合规定，无数据丢失风险；④服务报告及相关记录完整、准确。验收通过后，由双方负责人签字确认。</w:t>
            </w:r>
          </w:p>
          <w:bookmarkEnd w:id="0"/>
          <w:p w14:paraId="766B9707">
            <w:pPr>
              <w:widowControl/>
              <w:spacing w:line="360" w:lineRule="auto"/>
              <w:jc w:val="left"/>
              <w:rPr>
                <w:sz w:val="24"/>
                <w:szCs w:val="24"/>
              </w:rPr>
            </w:pPr>
            <w:r>
              <w:rPr>
                <w:rFonts w:hint="eastAsia"/>
                <w:sz w:val="24"/>
                <w:szCs w:val="24"/>
              </w:rPr>
              <w:t>6.3 责任界定与赔偿</w:t>
            </w:r>
          </w:p>
          <w:p w14:paraId="188DCBF3">
            <w:pPr>
              <w:widowControl/>
              <w:spacing w:line="360" w:lineRule="auto"/>
              <w:jc w:val="left"/>
              <w:rPr>
                <w:sz w:val="24"/>
                <w:szCs w:val="24"/>
              </w:rPr>
            </w:pPr>
            <w:r>
              <w:rPr>
                <w:rFonts w:hint="eastAsia"/>
                <w:sz w:val="24"/>
                <w:szCs w:val="24"/>
              </w:rPr>
              <w:t>若因驻点扫描团队操作不当导致病理切片损坏、丢失，需按照生物样本库切片价值及相关规定进行赔偿；若因数字图像质量不合格需重新扫描，扫描服务提供方需在规定时间内完成重扫，且不额外收取费用；若因数据泄露造成损失，需承担相应的法律责任及经济赔偿。</w:t>
            </w:r>
          </w:p>
        </w:tc>
      </w:tr>
    </w:tbl>
    <w:p w14:paraId="33CD0F67">
      <w:pPr>
        <w:numPr>
          <w:ilvl w:val="0"/>
          <w:numId w:val="1"/>
        </w:numPr>
        <w:adjustRightInd w:val="0"/>
        <w:snapToGrid w:val="0"/>
        <w:spacing w:line="360" w:lineRule="auto"/>
        <w:ind w:left="0" w:firstLine="640" w:firstLineChars="200"/>
        <w:rPr>
          <w:rFonts w:eastAsia="黑体" w:cs="Times New Roman"/>
        </w:rPr>
      </w:pPr>
      <w:r>
        <w:rPr>
          <w:rFonts w:hint="eastAsia" w:eastAsia="黑体" w:cs="Times New Roman"/>
        </w:rPr>
        <w:t>商务需求</w:t>
      </w:r>
    </w:p>
    <w:p w14:paraId="5CD4BF1A">
      <w:pPr>
        <w:widowControl/>
        <w:spacing w:line="360" w:lineRule="auto"/>
        <w:ind w:firstLine="640" w:firstLineChars="200"/>
      </w:pPr>
      <w:r>
        <w:rPr>
          <w:rFonts w:hint="eastAsia"/>
        </w:rPr>
        <w:t>（一）实施要求</w:t>
      </w:r>
    </w:p>
    <w:p w14:paraId="68B43CBB">
      <w:pPr>
        <w:adjustRightInd w:val="0"/>
        <w:snapToGrid w:val="0"/>
        <w:spacing w:line="360" w:lineRule="auto"/>
        <w:ind w:firstLine="640" w:firstLineChars="200"/>
      </w:pPr>
      <w:r>
        <w:rPr>
          <w:rFonts w:hint="eastAsia"/>
        </w:rPr>
        <w:t>1.实施时间：</w:t>
      </w:r>
      <w:bookmarkStart w:id="1" w:name="OLE_LINK3"/>
      <w:r>
        <w:rPr>
          <w:rFonts w:hint="eastAsia"/>
        </w:rPr>
        <w:t>2025年9月25日至2026年3月25日。</w:t>
      </w:r>
      <w:bookmarkEnd w:id="1"/>
    </w:p>
    <w:p w14:paraId="658ACE8A">
      <w:pPr>
        <w:adjustRightInd w:val="0"/>
        <w:snapToGrid w:val="0"/>
        <w:spacing w:line="360" w:lineRule="auto"/>
        <w:ind w:firstLine="640" w:firstLineChars="200"/>
      </w:pPr>
      <w:r>
        <w:rPr>
          <w:rFonts w:hint="eastAsia"/>
        </w:rPr>
        <w:t>2.实施地点：广东省（采购人指定地点）。</w:t>
      </w:r>
    </w:p>
    <w:p w14:paraId="19226099">
      <w:pPr>
        <w:adjustRightInd w:val="0"/>
        <w:snapToGrid w:val="0"/>
        <w:spacing w:line="360" w:lineRule="auto"/>
        <w:ind w:firstLine="640" w:firstLineChars="200"/>
      </w:pPr>
      <w:r>
        <w:rPr>
          <w:rFonts w:hint="eastAsia"/>
        </w:rPr>
        <w:t>3.实施方式：成交人应在采购合同生效后，安排人员至重庆市金凤实验室进行培训，符合要求后到采购人指定地点进行服务。</w:t>
      </w:r>
    </w:p>
    <w:p w14:paraId="56E0869A">
      <w:pPr>
        <w:adjustRightInd w:val="0"/>
        <w:snapToGrid w:val="0"/>
        <w:spacing w:line="360" w:lineRule="auto"/>
        <w:ind w:firstLine="640" w:firstLineChars="200"/>
      </w:pPr>
      <w:r>
        <w:rPr>
          <w:rFonts w:hint="eastAsia"/>
        </w:rPr>
        <w:t>（二）验收方式</w:t>
      </w:r>
    </w:p>
    <w:p w14:paraId="7E98A48C">
      <w:pPr>
        <w:adjustRightInd w:val="0"/>
        <w:snapToGrid w:val="0"/>
        <w:spacing w:line="360" w:lineRule="auto"/>
        <w:ind w:firstLine="640" w:firstLineChars="200"/>
      </w:pPr>
      <w:r>
        <w:rPr>
          <w:rFonts w:hint="eastAsia"/>
        </w:rPr>
        <w:t>生物样本库管理人员按照以下标准进行验收：①扫描切片数量与清单一致，无丢失、损坏；②数字病理切片图像分辨率、拼接精度、色彩还原度等指标符合实验室技术要求；③数据存储及备份符合规定，无数据丢失风险；④服务报告及相关记录完整、准确。验收通过后，由双方负责人签字确认。</w:t>
      </w:r>
    </w:p>
    <w:p w14:paraId="40ED908F">
      <w:pPr>
        <w:adjustRightInd w:val="0"/>
        <w:snapToGrid w:val="0"/>
        <w:spacing w:line="360" w:lineRule="auto"/>
        <w:ind w:firstLine="640" w:firstLineChars="200"/>
      </w:pPr>
      <w:r>
        <w:rPr>
          <w:rFonts w:hint="eastAsia"/>
        </w:rPr>
        <w:t>（三）付款方式</w:t>
      </w:r>
    </w:p>
    <w:p w14:paraId="74CFA7F8">
      <w:pPr>
        <w:adjustRightInd w:val="0"/>
        <w:snapToGrid w:val="0"/>
        <w:spacing w:line="360" w:lineRule="auto"/>
        <w:ind w:firstLine="640" w:firstLineChars="200"/>
      </w:pPr>
      <w:r>
        <w:rPr>
          <w:rFonts w:hint="eastAsia"/>
        </w:rPr>
        <w:t>合同签订后后支付合同全部金额的百分之八十，余百分之二十数字切片通过验收后支付。</w:t>
      </w:r>
    </w:p>
    <w:p w14:paraId="5D6BD61E">
      <w:pPr>
        <w:adjustRightInd w:val="0"/>
        <w:snapToGrid w:val="0"/>
        <w:spacing w:line="360" w:lineRule="auto"/>
        <w:ind w:firstLine="640" w:firstLineChars="200"/>
      </w:pPr>
      <w:r>
        <w:rPr>
          <w:rFonts w:hint="eastAsia"/>
        </w:rPr>
        <w:t>（四）验收方式</w:t>
      </w:r>
    </w:p>
    <w:p w14:paraId="0D023503">
      <w:pPr>
        <w:adjustRightInd w:val="0"/>
        <w:snapToGrid w:val="0"/>
        <w:spacing w:line="360" w:lineRule="auto"/>
        <w:ind w:firstLine="640" w:firstLineChars="200"/>
      </w:pPr>
      <w:r>
        <w:rPr>
          <w:rFonts w:hint="eastAsia"/>
        </w:rPr>
        <w:t>具体组织程序、验收标准和方法，按需求方规定程序执行，成交人配合。</w:t>
      </w:r>
    </w:p>
    <w:p w14:paraId="28B86E16">
      <w:pPr>
        <w:adjustRightInd w:val="0"/>
        <w:snapToGrid w:val="0"/>
        <w:spacing w:line="360" w:lineRule="auto"/>
        <w:ind w:firstLine="640" w:firstLineChars="200"/>
      </w:pPr>
      <w:r>
        <w:rPr>
          <w:rFonts w:hint="eastAsia"/>
        </w:rPr>
        <w:t>（五）知识产权</w:t>
      </w:r>
    </w:p>
    <w:p w14:paraId="46640C19">
      <w:pPr>
        <w:adjustRightInd w:val="0"/>
        <w:snapToGrid w:val="0"/>
        <w:spacing w:line="360" w:lineRule="auto"/>
        <w:ind w:firstLine="640" w:firstLineChars="200"/>
      </w:pPr>
      <w:r>
        <w:rPr>
          <w:rFonts w:hint="eastAsia"/>
        </w:rPr>
        <w:t>采购人在中华人民共和国境内使用报价人提供的产品</w:t>
      </w:r>
    </w:p>
    <w:p w14:paraId="0730E737">
      <w:pPr>
        <w:adjustRightInd w:val="0"/>
        <w:snapToGrid w:val="0"/>
        <w:spacing w:line="360" w:lineRule="auto"/>
        <w:ind w:firstLine="640" w:firstLineChars="200"/>
      </w:pPr>
      <w:r>
        <w:rPr>
          <w:rFonts w:hint="eastAsia"/>
        </w:rPr>
        <w:t>及服务时免受第三方提出的侵犯其专利权及知识产权的起诉。如果第三方提出侵权指控，成交人应承担由此而引起的一切法律责任和费用。</w:t>
      </w:r>
    </w:p>
    <w:p w14:paraId="7A22CB12">
      <w:pPr>
        <w:adjustRightInd w:val="0"/>
        <w:snapToGrid w:val="0"/>
        <w:spacing w:line="360" w:lineRule="auto"/>
        <w:ind w:firstLine="640" w:firstLineChars="200"/>
      </w:pPr>
      <w:r>
        <w:rPr>
          <w:rFonts w:hint="eastAsia"/>
        </w:rPr>
        <w:t>（六）其他</w:t>
      </w:r>
    </w:p>
    <w:p w14:paraId="23D5642E">
      <w:pPr>
        <w:adjustRightInd w:val="0"/>
        <w:snapToGrid w:val="0"/>
        <w:spacing w:line="360" w:lineRule="auto"/>
        <w:ind w:firstLine="640" w:firstLineChars="200"/>
      </w:pPr>
      <w:r>
        <w:rPr>
          <w:rFonts w:hint="eastAsia"/>
        </w:rPr>
        <w:t>无</w:t>
      </w:r>
    </w:p>
    <w:p w14:paraId="4C710F41">
      <w:pPr>
        <w:adjustRightInd w:val="0"/>
        <w:snapToGrid w:val="0"/>
        <w:spacing w:line="360" w:lineRule="auto"/>
        <w:ind w:firstLine="640" w:firstLineChars="200"/>
        <w:sectPr>
          <w:headerReference r:id="rId3" w:type="default"/>
          <w:pgSz w:w="11906" w:h="16838"/>
          <w:pgMar w:top="2098" w:right="1474" w:bottom="1985" w:left="1588" w:header="851" w:footer="992" w:gutter="0"/>
          <w:pgNumType w:fmt="numberInDash" w:start="1"/>
          <w:cols w:space="425" w:num="1"/>
          <w:docGrid w:linePitch="312" w:charSpace="0"/>
        </w:sectPr>
      </w:pPr>
    </w:p>
    <w:p w14:paraId="28630296">
      <w:pPr>
        <w:spacing w:line="360" w:lineRule="auto"/>
        <w:jc w:val="left"/>
        <w:rPr>
          <w:rFonts w:cs="Times New Roman"/>
          <w:spacing w:val="-2"/>
          <w14:ligatures w14:val="standardContextual"/>
        </w:rPr>
      </w:pPr>
      <w:r>
        <w:rPr>
          <w:rFonts w:hint="eastAsia" w:cs="Times New Roman"/>
          <w:spacing w:val="-2"/>
          <w14:ligatures w14:val="standardContextual"/>
        </w:rPr>
        <w:t>附件2</w:t>
      </w:r>
    </w:p>
    <w:p w14:paraId="79670363">
      <w:pPr>
        <w:spacing w:before="120" w:beforeLines="50" w:after="120" w:afterLines="50" w:line="360" w:lineRule="auto"/>
        <w:jc w:val="center"/>
        <w:rPr>
          <w:rFonts w:eastAsia="楷体_GB2312"/>
          <w:bCs/>
          <w:sz w:val="28"/>
          <w:szCs w:val="28"/>
        </w:rPr>
      </w:pPr>
      <w:r>
        <w:rPr>
          <w:rFonts w:hint="eastAsia" w:ascii="黑体" w:hAnsi="黑体" w:eastAsia="黑体" w:cs="黑体"/>
          <w:bCs/>
          <w:sz w:val="36"/>
          <w:szCs w:val="21"/>
        </w:rPr>
        <w:t>法定代表人资格证明书</w:t>
      </w:r>
    </w:p>
    <w:p w14:paraId="7FF9F76E">
      <w:pPr>
        <w:spacing w:before="480" w:beforeLines="200" w:line="360" w:lineRule="auto"/>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14:paraId="33962A94">
      <w:pPr>
        <w:spacing w:line="360" w:lineRule="auto"/>
        <w:ind w:firstLine="560" w:firstLineChars="200"/>
        <w:rPr>
          <w:bCs/>
          <w:sz w:val="28"/>
          <w:szCs w:val="28"/>
        </w:rPr>
      </w:pPr>
    </w:p>
    <w:p w14:paraId="22EC2DBC">
      <w:pPr>
        <w:spacing w:line="360" w:lineRule="auto"/>
        <w:ind w:firstLine="560" w:firstLineChars="200"/>
        <w:rPr>
          <w:bCs/>
          <w:sz w:val="28"/>
          <w:szCs w:val="28"/>
        </w:rPr>
      </w:pPr>
      <w:r>
        <w:rPr>
          <w:rFonts w:hint="eastAsia"/>
          <w:bCs/>
          <w:sz w:val="28"/>
          <w:szCs w:val="28"/>
        </w:rPr>
        <w:t>特此证明</w:t>
      </w:r>
    </w:p>
    <w:p w14:paraId="59A34117">
      <w:pPr>
        <w:spacing w:line="360" w:lineRule="auto"/>
        <w:ind w:firstLine="560" w:firstLineChars="200"/>
        <w:rPr>
          <w:bCs/>
          <w:sz w:val="28"/>
          <w:szCs w:val="28"/>
        </w:rPr>
      </w:pPr>
      <w:r>
        <w:rPr>
          <w:bCs/>
          <w:sz w:val="28"/>
          <w:szCs w:val="28"/>
        </w:rPr>
        <mc:AlternateContent>
          <mc:Choice Requires="wps">
            <w:drawing>
              <wp:anchor distT="0" distB="0" distL="114300" distR="114300" simplePos="0" relativeHeight="251660288" behindDoc="0" locked="0" layoutInCell="1" allowOverlap="1">
                <wp:simplePos x="0" y="0"/>
                <wp:positionH relativeFrom="column">
                  <wp:posOffset>2899410</wp:posOffset>
                </wp:positionH>
                <wp:positionV relativeFrom="paragraph">
                  <wp:posOffset>60325</wp:posOffset>
                </wp:positionV>
                <wp:extent cx="2181860" cy="1125855"/>
                <wp:effectExtent l="4445" t="4445" r="23495" b="1270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1860" cy="1125855"/>
                        </a:xfrm>
                        <a:prstGeom prst="rect">
                          <a:avLst/>
                        </a:prstGeom>
                        <a:solidFill>
                          <a:srgbClr val="FFFFFF"/>
                        </a:solidFill>
                        <a:ln w="9525">
                          <a:solidFill>
                            <a:srgbClr val="000000"/>
                          </a:solidFill>
                          <a:prstDash val="dash"/>
                          <a:miter lim="800000"/>
                        </a:ln>
                      </wps:spPr>
                      <wps:txbx>
                        <w:txbxContent>
                          <w:p w14:paraId="51934507">
                            <w:pPr>
                              <w:jc w:val="center"/>
                              <w:rPr>
                                <w:rFonts w:ascii="宋体"/>
                              </w:rPr>
                            </w:pPr>
                          </w:p>
                          <w:p w14:paraId="19CC0792">
                            <w:pPr>
                              <w:jc w:val="center"/>
                              <w:rPr>
                                <w:rFonts w:hint="eastAsia" w:ascii="宋体" w:hAnsi="宋体"/>
                                <w:sz w:val="28"/>
                                <w:szCs w:val="28"/>
                              </w:rPr>
                            </w:pPr>
                            <w:r>
                              <w:rPr>
                                <w:rFonts w:hint="eastAsia" w:ascii="宋体" w:hAnsi="宋体"/>
                                <w:sz w:val="28"/>
                                <w:szCs w:val="28"/>
                              </w:rPr>
                              <w:t>法定代表人身份证复印件</w:t>
                            </w:r>
                          </w:p>
                          <w:p w14:paraId="434B2057">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75pt;height:88.65pt;width:171.8pt;z-index:251660288;v-text-anchor:middle;mso-width-relative:page;mso-height-relative:page;" fillcolor="#FFFFFF" filled="t" stroked="t" coordsize="21600,21600" o:gfxdata="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VUwJdUAAAAJAQAADwAAAAAA&#10;AAABACAAAAAiAAAAZHJzL2Rvd25yZXYueG1sUEsBAhQAFAAAAAgAh07iQAjDKg1PAgAAogQAAA4A&#10;AAAAAAAAAQAgAAAAJAEAAGRycy9lMm9Eb2MueG1sUEsFBgAAAAAGAAYAWQEAAOUFAAAAAA==&#10;">
                <v:fill on="t" focussize="0,0"/>
                <v:stroke color="#000000" miterlimit="8" joinstyle="miter" dashstyle="dash"/>
                <v:imagedata o:title=""/>
                <o:lock v:ext="edit" aspectratio="f"/>
                <v:textbox>
                  <w:txbxContent>
                    <w:p w14:paraId="51934507">
                      <w:pPr>
                        <w:jc w:val="center"/>
                        <w:rPr>
                          <w:rFonts w:ascii="宋体"/>
                        </w:rPr>
                      </w:pPr>
                    </w:p>
                    <w:p w14:paraId="19CC0792">
                      <w:pPr>
                        <w:jc w:val="center"/>
                        <w:rPr>
                          <w:rFonts w:hint="eastAsia" w:ascii="宋体" w:hAnsi="宋体"/>
                          <w:sz w:val="28"/>
                          <w:szCs w:val="28"/>
                        </w:rPr>
                      </w:pPr>
                      <w:r>
                        <w:rPr>
                          <w:rFonts w:hint="eastAsia" w:ascii="宋体" w:hAnsi="宋体"/>
                          <w:sz w:val="28"/>
                          <w:szCs w:val="28"/>
                        </w:rPr>
                        <w:t>法定代表人身份证复印件</w:t>
                      </w:r>
                    </w:p>
                    <w:p w14:paraId="434B2057">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76974C4F">
                            <w:pPr>
                              <w:jc w:val="center"/>
                              <w:rPr>
                                <w:rFonts w:ascii="宋体"/>
                              </w:rPr>
                            </w:pPr>
                          </w:p>
                          <w:p w14:paraId="25576B69">
                            <w:pPr>
                              <w:jc w:val="center"/>
                              <w:rPr>
                                <w:rFonts w:hint="eastAsia" w:ascii="宋体" w:hAnsi="宋体"/>
                                <w:sz w:val="28"/>
                                <w:szCs w:val="28"/>
                              </w:rPr>
                            </w:pPr>
                            <w:r>
                              <w:rPr>
                                <w:rFonts w:hint="eastAsia" w:ascii="宋体" w:hAnsi="宋体"/>
                                <w:sz w:val="28"/>
                                <w:szCs w:val="28"/>
                              </w:rPr>
                              <w:t>法定代表人身份证复印件</w:t>
                            </w:r>
                          </w:p>
                          <w:p w14:paraId="25C06699">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14:paraId="76974C4F">
                      <w:pPr>
                        <w:jc w:val="center"/>
                        <w:rPr>
                          <w:rFonts w:ascii="宋体"/>
                        </w:rPr>
                      </w:pPr>
                    </w:p>
                    <w:p w14:paraId="25576B69">
                      <w:pPr>
                        <w:jc w:val="center"/>
                        <w:rPr>
                          <w:rFonts w:hint="eastAsia" w:ascii="宋体" w:hAnsi="宋体"/>
                          <w:sz w:val="28"/>
                          <w:szCs w:val="28"/>
                        </w:rPr>
                      </w:pPr>
                      <w:r>
                        <w:rPr>
                          <w:rFonts w:hint="eastAsia" w:ascii="宋体" w:hAnsi="宋体"/>
                          <w:sz w:val="28"/>
                          <w:szCs w:val="28"/>
                        </w:rPr>
                        <w:t>法定代表人身份证复印件</w:t>
                      </w:r>
                    </w:p>
                    <w:p w14:paraId="25C06699">
                      <w:pPr>
                        <w:jc w:val="center"/>
                        <w:rPr>
                          <w:sz w:val="28"/>
                          <w:szCs w:val="28"/>
                        </w:rPr>
                      </w:pPr>
                      <w:r>
                        <w:rPr>
                          <w:rFonts w:hint="eastAsia" w:ascii="宋体" w:hAnsi="宋体"/>
                          <w:sz w:val="28"/>
                          <w:szCs w:val="28"/>
                        </w:rPr>
                        <w:t>（正面）</w:t>
                      </w:r>
                    </w:p>
                  </w:txbxContent>
                </v:textbox>
              </v:shape>
            </w:pict>
          </mc:Fallback>
        </mc:AlternateContent>
      </w:r>
    </w:p>
    <w:p w14:paraId="6704E73F">
      <w:pPr>
        <w:spacing w:line="360" w:lineRule="auto"/>
        <w:rPr>
          <w:bCs/>
          <w:sz w:val="28"/>
          <w:szCs w:val="28"/>
        </w:rPr>
      </w:pPr>
    </w:p>
    <w:p w14:paraId="42283833">
      <w:pPr>
        <w:spacing w:line="360" w:lineRule="auto"/>
        <w:rPr>
          <w:bCs/>
          <w:sz w:val="28"/>
          <w:szCs w:val="28"/>
        </w:rPr>
      </w:pPr>
    </w:p>
    <w:p w14:paraId="1C00CDFA">
      <w:pPr>
        <w:spacing w:line="360" w:lineRule="auto"/>
        <w:rPr>
          <w:bCs/>
          <w:sz w:val="28"/>
          <w:szCs w:val="28"/>
        </w:rPr>
      </w:pPr>
    </w:p>
    <w:p w14:paraId="65EAB44E">
      <w:pPr>
        <w:spacing w:line="360" w:lineRule="auto"/>
        <w:rPr>
          <w:bCs/>
          <w:sz w:val="28"/>
          <w:szCs w:val="28"/>
        </w:rPr>
      </w:pPr>
    </w:p>
    <w:p w14:paraId="7813EEEC">
      <w:pPr>
        <w:spacing w:line="360" w:lineRule="auto"/>
        <w:rPr>
          <w:bCs/>
          <w:sz w:val="28"/>
          <w:szCs w:val="28"/>
        </w:rPr>
      </w:pPr>
    </w:p>
    <w:p w14:paraId="2FC1C4BA">
      <w:pPr>
        <w:spacing w:line="360" w:lineRule="auto"/>
        <w:rPr>
          <w:bCs/>
          <w:sz w:val="28"/>
          <w:szCs w:val="28"/>
        </w:rPr>
      </w:pPr>
    </w:p>
    <w:p w14:paraId="37A4EA1D">
      <w:pPr>
        <w:spacing w:line="360" w:lineRule="auto"/>
        <w:ind w:firstLine="560" w:firstLineChars="200"/>
        <w:rPr>
          <w:bCs/>
          <w:sz w:val="28"/>
          <w:szCs w:val="28"/>
        </w:rPr>
      </w:pPr>
      <w:r>
        <w:rPr>
          <w:rFonts w:hint="eastAsia"/>
          <w:bCs/>
          <w:sz w:val="28"/>
          <w:szCs w:val="28"/>
        </w:rPr>
        <w:t>身份证关键信息应当清晰可辨，否则视为无效报价。</w:t>
      </w:r>
    </w:p>
    <w:p w14:paraId="4CB62C82">
      <w:pPr>
        <w:spacing w:line="360" w:lineRule="auto"/>
        <w:ind w:firstLine="4900" w:firstLineChars="1750"/>
        <w:rPr>
          <w:bCs/>
          <w:sz w:val="28"/>
          <w:szCs w:val="28"/>
        </w:rPr>
      </w:pPr>
    </w:p>
    <w:p w14:paraId="03D64621">
      <w:pPr>
        <w:spacing w:line="360" w:lineRule="auto"/>
        <w:ind w:firstLine="4900" w:firstLineChars="1750"/>
        <w:rPr>
          <w:bCs/>
          <w:sz w:val="28"/>
          <w:szCs w:val="28"/>
        </w:rPr>
      </w:pPr>
    </w:p>
    <w:p w14:paraId="4E4D1DBB">
      <w:pPr>
        <w:spacing w:line="360" w:lineRule="auto"/>
        <w:rPr>
          <w:bCs/>
          <w:sz w:val="28"/>
          <w:szCs w:val="28"/>
        </w:rPr>
      </w:pPr>
    </w:p>
    <w:p w14:paraId="7F7A5C2E">
      <w:pPr>
        <w:spacing w:line="360" w:lineRule="auto"/>
        <w:ind w:firstLine="560" w:firstLineChars="200"/>
        <w:jc w:val="center"/>
        <w:rPr>
          <w:bCs/>
          <w:sz w:val="28"/>
          <w:szCs w:val="28"/>
        </w:rPr>
      </w:pPr>
      <w:r>
        <w:rPr>
          <w:bCs/>
          <w:sz w:val="28"/>
          <w:szCs w:val="28"/>
        </w:rPr>
        <w:t xml:space="preserve">                   </w:t>
      </w:r>
      <w:r>
        <w:rPr>
          <w:rFonts w:hint="eastAsia"/>
          <w:bCs/>
          <w:sz w:val="28"/>
          <w:szCs w:val="28"/>
        </w:rPr>
        <w:t>报价供应商全称：（盖章）</w:t>
      </w:r>
    </w:p>
    <w:p w14:paraId="142F5B55">
      <w:pPr>
        <w:spacing w:line="360" w:lineRule="auto"/>
        <w:jc w:val="left"/>
        <w:rPr>
          <w:bCs/>
          <w:sz w:val="28"/>
          <w:szCs w:val="28"/>
        </w:rPr>
      </w:pPr>
    </w:p>
    <w:p w14:paraId="77CF80DA">
      <w:pPr>
        <w:spacing w:line="360" w:lineRule="auto"/>
        <w:ind w:firstLine="560" w:firstLineChars="200"/>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6E8F1524">
      <w:pPr>
        <w:widowControl/>
        <w:spacing w:line="360" w:lineRule="auto"/>
        <w:ind w:firstLine="640" w:firstLineChars="200"/>
        <w:jc w:val="left"/>
        <w:rPr>
          <w:rFonts w:ascii="Arial" w:hAnsi="Arial" w:eastAsia="黑体"/>
          <w:bCs/>
          <w:sz w:val="28"/>
          <w:szCs w:val="28"/>
          <w:lang w:val="zh-CN"/>
        </w:rPr>
      </w:pPr>
      <w:r>
        <w:rPr>
          <w:bCs/>
          <w:lang w:val="zh-CN"/>
        </w:rPr>
        <w:br w:type="page"/>
      </w:r>
    </w:p>
    <w:p w14:paraId="022B004A">
      <w:pPr>
        <w:spacing w:line="360" w:lineRule="auto"/>
        <w:jc w:val="left"/>
        <w:rPr>
          <w:rFonts w:cs="Times New Roman"/>
          <w:spacing w:val="-2"/>
          <w14:ligatures w14:val="standardContextual"/>
        </w:rPr>
      </w:pPr>
      <w:r>
        <w:rPr>
          <w:rFonts w:hint="eastAsia" w:cs="Times New Roman"/>
          <w:spacing w:val="-2"/>
          <w14:ligatures w14:val="standardContextual"/>
        </w:rPr>
        <w:t>附件3</w:t>
      </w:r>
    </w:p>
    <w:p w14:paraId="46B6D440">
      <w:pPr>
        <w:spacing w:before="120" w:beforeLines="50" w:after="120" w:afterLines="50" w:line="360" w:lineRule="auto"/>
        <w:jc w:val="center"/>
        <w:rPr>
          <w:bCs/>
          <w:sz w:val="28"/>
          <w:szCs w:val="28"/>
        </w:rPr>
      </w:pPr>
      <w:r>
        <w:rPr>
          <w:rFonts w:hint="eastAsia" w:ascii="黑体" w:hAnsi="黑体" w:eastAsia="黑体" w:cs="黑体"/>
          <w:bCs/>
          <w:sz w:val="36"/>
          <w:szCs w:val="36"/>
        </w:rPr>
        <w:t>法定代表人授权书</w:t>
      </w:r>
    </w:p>
    <w:p w14:paraId="6EF96C06">
      <w:pPr>
        <w:spacing w:line="360" w:lineRule="auto"/>
        <w:rPr>
          <w:rFonts w:hint="eastAsia" w:ascii="宋体" w:hAnsi="宋体" w:cs="宋体"/>
          <w:bCs/>
          <w:sz w:val="28"/>
          <w:szCs w:val="28"/>
        </w:rPr>
      </w:pPr>
      <w:r>
        <w:rPr>
          <w:rFonts w:hint="eastAsia" w:ascii="宋体" w:hAnsi="宋体" w:cs="宋体"/>
          <w:bCs/>
          <w:sz w:val="28"/>
          <w:szCs w:val="28"/>
          <w:u w:val="single"/>
        </w:rPr>
        <w:t>金凤实验室</w:t>
      </w:r>
      <w:r>
        <w:rPr>
          <w:rFonts w:hint="eastAsia" w:ascii="宋体" w:hAnsi="宋体" w:cs="宋体"/>
          <w:bCs/>
          <w:sz w:val="28"/>
          <w:szCs w:val="28"/>
        </w:rPr>
        <w:t>：</w:t>
      </w:r>
    </w:p>
    <w:p w14:paraId="71B20BAD">
      <w:pPr>
        <w:spacing w:line="360" w:lineRule="auto"/>
        <w:ind w:firstLine="560" w:firstLineChars="200"/>
        <w:rPr>
          <w:rFonts w:hint="eastAsia" w:ascii="宋体" w:hAnsi="宋体" w:cs="宋体"/>
          <w:bCs/>
          <w:sz w:val="28"/>
          <w:szCs w:val="28"/>
        </w:rPr>
      </w:pPr>
      <w:r>
        <w:rPr>
          <w:rFonts w:hint="eastAsia" w:ascii="宋体" w:hAnsi="宋体" w:cs="宋体"/>
          <w:bCs/>
          <w:sz w:val="28"/>
          <w:szCs w:val="28"/>
          <w:u w:val="single"/>
        </w:rPr>
        <w:t>（报价供应商全称）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为全权代表，参加贵单位组织的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14:paraId="5676E275">
      <w:pPr>
        <w:spacing w:line="360" w:lineRule="auto"/>
        <w:ind w:firstLine="600"/>
        <w:rPr>
          <w:rFonts w:hint="eastAsia" w:ascii="宋体" w:hAnsi="宋体" w:cs="宋体"/>
          <w:bCs/>
          <w:sz w:val="28"/>
          <w:szCs w:val="28"/>
        </w:rPr>
      </w:pPr>
    </w:p>
    <w:p w14:paraId="29DA9106">
      <w:pPr>
        <w:spacing w:line="360" w:lineRule="auto"/>
        <w:ind w:left="-3" w:leftChars="-1" w:firstLine="4200" w:firstLineChars="1500"/>
        <w:jc w:val="right"/>
        <w:rPr>
          <w:rFonts w:hint="eastAsia" w:ascii="宋体" w:hAnsi="宋体" w:cs="宋体"/>
          <w:bCs/>
          <w:sz w:val="28"/>
          <w:szCs w:val="28"/>
        </w:rPr>
      </w:pPr>
      <w:r>
        <w:rPr>
          <w:rFonts w:hint="eastAsia" w:ascii="宋体" w:hAnsi="宋体" w:cs="宋体"/>
          <w:bCs/>
          <w:sz w:val="28"/>
          <w:szCs w:val="28"/>
        </w:rPr>
        <w:t xml:space="preserve">报价供应商全称：（盖章）                            </w:t>
      </w:r>
    </w:p>
    <w:p w14:paraId="40FA69F2">
      <w:pPr>
        <w:spacing w:line="360" w:lineRule="auto"/>
        <w:ind w:left="5494" w:leftChars="1717" w:firstLine="560" w:firstLineChars="200"/>
        <w:jc w:val="right"/>
        <w:rPr>
          <w:rFonts w:hint="eastAsia" w:ascii="宋体" w:hAnsi="宋体" w:cs="宋体"/>
          <w:bCs/>
          <w:sz w:val="28"/>
          <w:szCs w:val="28"/>
        </w:rPr>
      </w:pPr>
      <w:r>
        <w:rPr>
          <w:rFonts w:hint="eastAsia" w:ascii="宋体" w:hAnsi="宋体" w:cs="宋体"/>
          <w:bCs/>
          <w:sz w:val="28"/>
          <w:szCs w:val="28"/>
        </w:rPr>
        <w:t>法定代表人：（签字）</w:t>
      </w:r>
    </w:p>
    <w:p w14:paraId="61BF4FCA">
      <w:pPr>
        <w:spacing w:line="360" w:lineRule="auto"/>
        <w:ind w:left="4522" w:leftChars="1413" w:firstLine="560" w:firstLineChars="200"/>
        <w:jc w:val="right"/>
        <w:rPr>
          <w:rFonts w:hint="eastAsia" w:ascii="宋体" w:hAnsi="宋体" w:cs="宋体"/>
          <w:bCs/>
          <w:sz w:val="28"/>
          <w:szCs w:val="28"/>
        </w:rPr>
      </w:pP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0364E149">
      <w:pPr>
        <w:spacing w:line="360" w:lineRule="auto"/>
        <w:ind w:firstLine="560" w:firstLineChars="200"/>
        <w:rPr>
          <w:rFonts w:hint="eastAsia" w:ascii="宋体" w:hAnsi="宋体" w:cs="宋体"/>
          <w:bCs/>
          <w:sz w:val="28"/>
          <w:szCs w:val="28"/>
        </w:rPr>
      </w:pPr>
      <w:r>
        <w:rPr>
          <w:rFonts w:hint="eastAsia" w:ascii="宋体" w:hAnsi="宋体" w:cs="宋体"/>
          <w:bCs/>
          <w:sz w:val="28"/>
          <w:szCs w:val="28"/>
        </w:rPr>
        <w:t>附：</w:t>
      </w:r>
    </w:p>
    <w:p w14:paraId="50236C62">
      <w:pPr>
        <w:spacing w:line="360" w:lineRule="auto"/>
        <w:ind w:firstLine="560" w:firstLineChars="200"/>
        <w:rPr>
          <w:rFonts w:hint="eastAsia"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7A01D4A6">
      <w:pPr>
        <w:spacing w:line="360" w:lineRule="auto"/>
        <w:ind w:firstLine="560" w:firstLineChars="200"/>
        <w:rPr>
          <w:rFonts w:hint="eastAsia"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14:paraId="3347D778">
      <w:pPr>
        <w:spacing w:line="360" w:lineRule="auto"/>
        <w:ind w:firstLine="560" w:firstLineChars="200"/>
        <w:rPr>
          <w:rFonts w:hint="eastAsia"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14:paraId="6621F779">
      <w:pPr>
        <w:spacing w:line="360" w:lineRule="auto"/>
        <w:ind w:firstLine="560" w:firstLineChars="200"/>
        <w:rPr>
          <w:rFonts w:hint="eastAsia"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14:paraId="401FD7D7">
      <w:pPr>
        <w:spacing w:line="360" w:lineRule="auto"/>
        <w:ind w:firstLine="560" w:firstLineChars="200"/>
        <w:rPr>
          <w:rFonts w:hint="eastAsia"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2336" behindDoc="0" locked="0" layoutInCell="1" allowOverlap="1">
                <wp:simplePos x="0" y="0"/>
                <wp:positionH relativeFrom="column">
                  <wp:posOffset>2877820</wp:posOffset>
                </wp:positionH>
                <wp:positionV relativeFrom="paragraph">
                  <wp:posOffset>121920</wp:posOffset>
                </wp:positionV>
                <wp:extent cx="2240915" cy="1102360"/>
                <wp:effectExtent l="5080" t="5080" r="20955" b="1651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102360"/>
                        </a:xfrm>
                        <a:prstGeom prst="rect">
                          <a:avLst/>
                        </a:prstGeom>
                        <a:solidFill>
                          <a:srgbClr val="FFFFFF"/>
                        </a:solidFill>
                        <a:ln w="9525">
                          <a:solidFill>
                            <a:srgbClr val="000000"/>
                          </a:solidFill>
                          <a:prstDash val="dash"/>
                          <a:miter lim="800000"/>
                        </a:ln>
                      </wps:spPr>
                      <wps:txbx>
                        <w:txbxContent>
                          <w:p w14:paraId="0F8307BB">
                            <w:pPr>
                              <w:jc w:val="center"/>
                              <w:rPr>
                                <w:rFonts w:ascii="宋体"/>
                              </w:rPr>
                            </w:pPr>
                          </w:p>
                          <w:p w14:paraId="30CC3D98">
                            <w:pPr>
                              <w:jc w:val="center"/>
                              <w:rPr>
                                <w:rFonts w:hint="eastAsia" w:ascii="宋体" w:hAnsi="宋体"/>
                                <w:sz w:val="28"/>
                                <w:szCs w:val="28"/>
                              </w:rPr>
                            </w:pPr>
                            <w:r>
                              <w:rPr>
                                <w:rFonts w:hint="eastAsia" w:ascii="宋体" w:hAnsi="宋体"/>
                                <w:sz w:val="28"/>
                                <w:szCs w:val="28"/>
                              </w:rPr>
                              <w:t>授权代表身份证复印件</w:t>
                            </w:r>
                          </w:p>
                          <w:p w14:paraId="2663AD96">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6pt;margin-top:9.6pt;height:86.8pt;width:176.45pt;z-index:251662336;v-text-anchor:middle;mso-width-relative:page;mso-height-relative:page;" fillcolor="#FFFFFF" filled="t" stroked="t" coordsize="21600,21600" o:gfxdata="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kiQw9UAAAAKAQAADwAAAAAA&#10;AAABACAAAAAiAAAAZHJzL2Rvd25yZXYueG1sUEsBAhQAFAAAAAgAh07iQDdEUJxPAgAAogQAAA4A&#10;AAAAAAAAAQAgAAAAJAEAAGRycy9lMm9Eb2MueG1sUEsFBgAAAAAGAAYAWQEAAOUFAAAAAA==&#10;">
                <v:fill on="t" focussize="0,0"/>
                <v:stroke color="#000000" miterlimit="8" joinstyle="miter" dashstyle="dash"/>
                <v:imagedata o:title=""/>
                <o:lock v:ext="edit" aspectratio="f"/>
                <v:textbox>
                  <w:txbxContent>
                    <w:p w14:paraId="0F8307BB">
                      <w:pPr>
                        <w:jc w:val="center"/>
                        <w:rPr>
                          <w:rFonts w:ascii="宋体"/>
                        </w:rPr>
                      </w:pPr>
                    </w:p>
                    <w:p w14:paraId="30CC3D98">
                      <w:pPr>
                        <w:jc w:val="center"/>
                        <w:rPr>
                          <w:rFonts w:hint="eastAsia" w:ascii="宋体" w:hAnsi="宋体"/>
                          <w:sz w:val="28"/>
                          <w:szCs w:val="28"/>
                        </w:rPr>
                      </w:pPr>
                      <w:r>
                        <w:rPr>
                          <w:rFonts w:hint="eastAsia" w:ascii="宋体" w:hAnsi="宋体"/>
                          <w:sz w:val="28"/>
                          <w:szCs w:val="28"/>
                        </w:rPr>
                        <w:t>授权代表身份证复印件</w:t>
                      </w:r>
                    </w:p>
                    <w:p w14:paraId="2663AD96">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1312" behindDoc="0" locked="0" layoutInCell="1" allowOverlap="1">
                <wp:simplePos x="0" y="0"/>
                <wp:positionH relativeFrom="column">
                  <wp:posOffset>392430</wp:posOffset>
                </wp:positionH>
                <wp:positionV relativeFrom="paragraph">
                  <wp:posOffset>120015</wp:posOffset>
                </wp:positionV>
                <wp:extent cx="2240915" cy="1081405"/>
                <wp:effectExtent l="4445" t="4445" r="21590" b="190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14:paraId="02071734">
                            <w:pPr>
                              <w:jc w:val="center"/>
                              <w:rPr>
                                <w:rFonts w:ascii="宋体"/>
                              </w:rPr>
                            </w:pPr>
                          </w:p>
                          <w:p w14:paraId="6511D8D7">
                            <w:pPr>
                              <w:jc w:val="center"/>
                              <w:rPr>
                                <w:rFonts w:hint="eastAsia" w:ascii="宋体" w:hAnsi="宋体"/>
                                <w:sz w:val="28"/>
                                <w:szCs w:val="28"/>
                              </w:rPr>
                            </w:pPr>
                            <w:r>
                              <w:rPr>
                                <w:rFonts w:hint="eastAsia" w:ascii="宋体" w:hAnsi="宋体"/>
                                <w:sz w:val="28"/>
                                <w:szCs w:val="28"/>
                              </w:rPr>
                              <w:t>授权代表身份证复印件</w:t>
                            </w:r>
                          </w:p>
                          <w:p w14:paraId="78B89DBA">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45pt;height:85.15pt;width:176.45pt;z-index:251661312;v-text-anchor:middle;mso-width-relative:page;mso-height-relative:page;" fillcolor="#FFFFFF" filled="t" stroked="t" coordsize="21600,21600" o:gfxdata="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0Q1AAAAAkBAAAPAAAAAAAA&#10;AAEAIAAAACIAAABkcnMvZG93bnJldi54bWxQSwECFAAUAAAACACHTuJArYXNvU8CAACiBAAADgAA&#10;AAAAAAABACAAAAAjAQAAZHJzL2Uyb0RvYy54bWxQSwUGAAAAAAYABgBZAQAA5AUAAAAA&#10;">
                <v:fill on="t" focussize="0,0"/>
                <v:stroke color="#000000" miterlimit="8" joinstyle="miter" dashstyle="dash"/>
                <v:imagedata o:title=""/>
                <o:lock v:ext="edit" aspectratio="f"/>
                <v:textbox>
                  <w:txbxContent>
                    <w:p w14:paraId="02071734">
                      <w:pPr>
                        <w:jc w:val="center"/>
                        <w:rPr>
                          <w:rFonts w:ascii="宋体"/>
                        </w:rPr>
                      </w:pPr>
                    </w:p>
                    <w:p w14:paraId="6511D8D7">
                      <w:pPr>
                        <w:jc w:val="center"/>
                        <w:rPr>
                          <w:rFonts w:hint="eastAsia" w:ascii="宋体" w:hAnsi="宋体"/>
                          <w:sz w:val="28"/>
                          <w:szCs w:val="28"/>
                        </w:rPr>
                      </w:pPr>
                      <w:r>
                        <w:rPr>
                          <w:rFonts w:hint="eastAsia" w:ascii="宋体" w:hAnsi="宋体"/>
                          <w:sz w:val="28"/>
                          <w:szCs w:val="28"/>
                        </w:rPr>
                        <w:t>授权代表身份证复印件</w:t>
                      </w:r>
                    </w:p>
                    <w:p w14:paraId="78B89DBA">
                      <w:pPr>
                        <w:jc w:val="center"/>
                        <w:rPr>
                          <w:sz w:val="28"/>
                          <w:szCs w:val="28"/>
                        </w:rPr>
                      </w:pPr>
                      <w:r>
                        <w:rPr>
                          <w:rFonts w:hint="eastAsia" w:ascii="宋体" w:hAnsi="宋体"/>
                          <w:sz w:val="28"/>
                          <w:szCs w:val="28"/>
                        </w:rPr>
                        <w:t>（正面）</w:t>
                      </w:r>
                    </w:p>
                  </w:txbxContent>
                </v:textbox>
              </v:shape>
            </w:pict>
          </mc:Fallback>
        </mc:AlternateContent>
      </w:r>
    </w:p>
    <w:p w14:paraId="20A828C0">
      <w:pPr>
        <w:spacing w:line="360" w:lineRule="auto"/>
        <w:ind w:firstLine="573"/>
        <w:rPr>
          <w:rFonts w:hint="eastAsia" w:ascii="宋体" w:hAnsi="宋体" w:cs="宋体"/>
          <w:bCs/>
          <w:sz w:val="28"/>
          <w:szCs w:val="28"/>
        </w:rPr>
      </w:pPr>
    </w:p>
    <w:p w14:paraId="6E3018D3">
      <w:pPr>
        <w:spacing w:line="360" w:lineRule="auto"/>
        <w:ind w:firstLine="573"/>
        <w:rPr>
          <w:rFonts w:hint="eastAsia" w:ascii="宋体" w:hAnsi="宋体" w:cs="宋体"/>
          <w:bCs/>
          <w:sz w:val="28"/>
          <w:szCs w:val="28"/>
        </w:rPr>
      </w:pPr>
    </w:p>
    <w:p w14:paraId="46355701">
      <w:pPr>
        <w:spacing w:line="360" w:lineRule="auto"/>
        <w:ind w:firstLine="420" w:firstLineChars="150"/>
        <w:rPr>
          <w:rFonts w:hint="eastAsia" w:ascii="宋体" w:hAnsi="宋体" w:cs="宋体"/>
          <w:bCs/>
          <w:sz w:val="28"/>
          <w:szCs w:val="28"/>
        </w:rPr>
      </w:pPr>
    </w:p>
    <w:p w14:paraId="0757A10D">
      <w:pPr>
        <w:spacing w:line="360" w:lineRule="auto"/>
        <w:ind w:firstLine="560" w:firstLineChars="200"/>
        <w:rPr>
          <w:rFonts w:hint="eastAsia" w:ascii="宋体" w:hAnsi="宋体" w:cs="宋体"/>
          <w:bCs/>
          <w:sz w:val="28"/>
          <w:szCs w:val="28"/>
        </w:rPr>
      </w:pPr>
      <w:r>
        <w:rPr>
          <w:rFonts w:hint="eastAsia" w:ascii="宋体" w:hAnsi="宋体" w:cs="宋体"/>
          <w:bCs/>
          <w:sz w:val="28"/>
          <w:szCs w:val="28"/>
        </w:rPr>
        <w:t>身份证关键信息应当清晰可辨，否则视为无效投标。</w:t>
      </w:r>
    </w:p>
    <w:p w14:paraId="47CA217A">
      <w:pPr>
        <w:spacing w:line="360" w:lineRule="auto"/>
        <w:ind w:firstLine="560" w:firstLineChars="200"/>
        <w:rPr>
          <w:rFonts w:hint="eastAsia" w:ascii="黑体" w:hAnsi="黑体" w:eastAsia="黑体" w:cs="宋体"/>
          <w:bCs/>
          <w:sz w:val="28"/>
          <w:szCs w:val="28"/>
        </w:rPr>
        <w:sectPr>
          <w:pgSz w:w="11906" w:h="16838"/>
          <w:pgMar w:top="1418" w:right="1134" w:bottom="1418" w:left="1418" w:header="851" w:footer="851" w:gutter="0"/>
          <w:cols w:space="720" w:num="1"/>
          <w:docGrid w:linePitch="388" w:charSpace="-1260"/>
        </w:sectPr>
      </w:pPr>
    </w:p>
    <w:p w14:paraId="3073102D">
      <w:pPr>
        <w:spacing w:line="360" w:lineRule="auto"/>
        <w:jc w:val="left"/>
        <w:rPr>
          <w:rFonts w:cs="Times New Roman"/>
          <w:spacing w:val="-2"/>
          <w14:ligatures w14:val="standardContextual"/>
        </w:rPr>
      </w:pPr>
      <w:r>
        <w:rPr>
          <w:rFonts w:hint="eastAsia" w:cs="Times New Roman"/>
          <w:spacing w:val="-2"/>
          <w14:ligatures w14:val="standardContextual"/>
        </w:rPr>
        <w:t>附件4</w:t>
      </w:r>
    </w:p>
    <w:p w14:paraId="4940536E">
      <w:pPr>
        <w:spacing w:after="120" w:line="360" w:lineRule="auto"/>
        <w:ind w:firstLine="723"/>
        <w:jc w:val="center"/>
        <w:rPr>
          <w:b/>
          <w:bCs/>
          <w:sz w:val="36"/>
          <w:szCs w:val="44"/>
          <w:lang w:val="zh-CN"/>
        </w:rPr>
      </w:pPr>
      <w:r>
        <w:rPr>
          <w:rFonts w:hint="eastAsia"/>
          <w:b/>
          <w:bCs/>
          <w:sz w:val="36"/>
          <w:szCs w:val="44"/>
        </w:rPr>
        <w:t>声明书</w:t>
      </w:r>
    </w:p>
    <w:p w14:paraId="43CD8EEF">
      <w:pPr>
        <w:spacing w:line="360" w:lineRule="auto"/>
        <w:rPr>
          <w:sz w:val="28"/>
          <w:szCs w:val="28"/>
        </w:rPr>
      </w:pPr>
      <w:r>
        <w:rPr>
          <w:rFonts w:hint="eastAsia"/>
          <w:sz w:val="28"/>
          <w:szCs w:val="28"/>
        </w:rPr>
        <w:t>致：金凤实验室</w:t>
      </w:r>
    </w:p>
    <w:p w14:paraId="3FF136D9">
      <w:pPr>
        <w:spacing w:line="360" w:lineRule="auto"/>
        <w:ind w:firstLine="420"/>
        <w:rPr>
          <w:sz w:val="28"/>
          <w:szCs w:val="28"/>
        </w:rPr>
      </w:pPr>
      <w:r>
        <w:rPr>
          <w:rFonts w:hint="eastAsia"/>
          <w:sz w:val="28"/>
          <w:szCs w:val="28"/>
        </w:rPr>
        <w:t>我方参加贵单位组织的</w:t>
      </w:r>
      <w:r>
        <w:rPr>
          <w:sz w:val="28"/>
          <w:szCs w:val="28"/>
          <w:u w:val="single"/>
        </w:rPr>
        <w:t>金凤实验室生物样本库广东省50万</w:t>
      </w:r>
      <w:r>
        <w:rPr>
          <w:rFonts w:hint="eastAsia"/>
          <w:sz w:val="28"/>
          <w:szCs w:val="28"/>
          <w:u w:val="single"/>
        </w:rPr>
        <w:t>张</w:t>
      </w:r>
      <w:r>
        <w:rPr>
          <w:sz w:val="28"/>
          <w:szCs w:val="28"/>
          <w:u w:val="single"/>
        </w:rPr>
        <w:t>数字病理切片扫描服务项目</w:t>
      </w:r>
      <w:r>
        <w:rPr>
          <w:rFonts w:hint="eastAsia"/>
          <w:sz w:val="28"/>
          <w:szCs w:val="28"/>
        </w:rPr>
        <w:t>采购活动，现就有关事项声明如下（以下内容自行填写，包括但不限于以下内容）：</w:t>
      </w:r>
    </w:p>
    <w:p w14:paraId="23D1FC60">
      <w:pPr>
        <w:spacing w:line="360" w:lineRule="auto"/>
        <w:ind w:firstLine="420"/>
        <w:rPr>
          <w:sz w:val="28"/>
          <w:szCs w:val="28"/>
          <w:u w:val="single"/>
        </w:rPr>
      </w:pPr>
      <w:r>
        <w:rPr>
          <w:rFonts w:hint="eastAsia"/>
          <w:sz w:val="28"/>
          <w:szCs w:val="28"/>
          <w:u w:val="single"/>
        </w:rPr>
        <w:t>1.我方具有良好的商业信誉和健全的财务会计制度；</w:t>
      </w:r>
    </w:p>
    <w:p w14:paraId="49CBA4AC">
      <w:pPr>
        <w:spacing w:line="360" w:lineRule="auto"/>
        <w:ind w:firstLine="420"/>
        <w:rPr>
          <w:sz w:val="28"/>
          <w:szCs w:val="28"/>
          <w:u w:val="single"/>
        </w:rPr>
      </w:pPr>
      <w:r>
        <w:rPr>
          <w:rFonts w:hint="eastAsia"/>
          <w:sz w:val="28"/>
          <w:szCs w:val="28"/>
          <w:u w:val="single"/>
        </w:rPr>
        <w:t>2.我方具有履行合同所必需的设备和专业技术能力</w:t>
      </w:r>
      <w:r>
        <w:rPr>
          <w:rFonts w:hint="eastAsia"/>
          <w:sz w:val="28"/>
          <w:szCs w:val="28"/>
        </w:rPr>
        <w:t>；</w:t>
      </w:r>
    </w:p>
    <w:p w14:paraId="2479445C">
      <w:pPr>
        <w:spacing w:line="360" w:lineRule="auto"/>
        <w:ind w:firstLine="420"/>
        <w:rPr>
          <w:rFonts w:eastAsia="宋体"/>
          <w:sz w:val="28"/>
          <w:szCs w:val="28"/>
          <w:u w:val="single"/>
        </w:rPr>
      </w:pPr>
      <w:r>
        <w:rPr>
          <w:rFonts w:hint="eastAsia"/>
          <w:sz w:val="28"/>
          <w:szCs w:val="28"/>
          <w:u w:val="single"/>
        </w:rPr>
        <w:t>3.我方有依法缴纳税收和社会保障资金的良好记录；</w:t>
      </w:r>
    </w:p>
    <w:p w14:paraId="5B404A26">
      <w:pPr>
        <w:spacing w:line="360" w:lineRule="auto"/>
        <w:ind w:firstLine="420"/>
        <w:rPr>
          <w:rFonts w:hint="eastAsia" w:ascii="宋体" w:hAnsi="宋体" w:cs="宋体"/>
          <w:sz w:val="28"/>
          <w:szCs w:val="28"/>
          <w:u w:val="single"/>
        </w:rPr>
      </w:pPr>
      <w:r>
        <w:rPr>
          <w:rFonts w:hint="eastAsia"/>
          <w:sz w:val="28"/>
          <w:szCs w:val="28"/>
          <w:u w:val="single"/>
        </w:rPr>
        <w:t>4.我单位近3年内不存在因质量和售后服务被用户投诉、法律诉讼和仲裁案件等情形；我单位近3年内没有处于被责令停业或财产被接管或冻结破产的状态，或处于被暂停参加采购活动的处罚阶段；我单位参加本次采购活动前3年内在经营活动中没有重大违法、违规、违约记录，以及项目质量和安全问题</w:t>
      </w:r>
      <w:r>
        <w:rPr>
          <w:rFonts w:hint="eastAsia" w:ascii="宋体" w:hAnsi="宋体" w:cs="宋体"/>
          <w:sz w:val="28"/>
          <w:szCs w:val="28"/>
          <w:u w:val="single"/>
        </w:rPr>
        <w:t xml:space="preserve"> ；</w:t>
      </w:r>
    </w:p>
    <w:p w14:paraId="4C696DA5">
      <w:pPr>
        <w:spacing w:line="360" w:lineRule="auto"/>
        <w:ind w:firstLine="420"/>
        <w:rPr>
          <w:sz w:val="28"/>
          <w:szCs w:val="28"/>
          <w:u w:val="single"/>
        </w:rPr>
      </w:pPr>
      <w:r>
        <w:rPr>
          <w:rFonts w:hint="eastAsia" w:ascii="宋体" w:hAnsi="宋体" w:cs="宋体"/>
          <w:sz w:val="28"/>
          <w:szCs w:val="28"/>
          <w:u w:val="single"/>
        </w:rPr>
        <w:t>5.我方符合</w:t>
      </w:r>
      <w:r>
        <w:rPr>
          <w:rFonts w:hint="eastAsia"/>
          <w:sz w:val="28"/>
          <w:szCs w:val="28"/>
          <w:u w:val="single"/>
        </w:rPr>
        <w:t>法律、行政法规规定的其他条件；</w:t>
      </w:r>
    </w:p>
    <w:p w14:paraId="03A0249E">
      <w:pPr>
        <w:spacing w:line="360" w:lineRule="auto"/>
        <w:ind w:firstLine="420"/>
        <w:rPr>
          <w:sz w:val="28"/>
          <w:szCs w:val="28"/>
          <w:u w:val="single"/>
        </w:rPr>
      </w:pPr>
      <w:r>
        <w:rPr>
          <w:rFonts w:hint="eastAsia" w:ascii="宋体" w:hAnsi="宋体" w:cs="宋体"/>
          <w:sz w:val="28"/>
          <w:szCs w:val="28"/>
          <w:u w:val="single"/>
        </w:rPr>
        <w:t>6.我方不存在：</w:t>
      </w:r>
      <w:r>
        <w:rPr>
          <w:rFonts w:hint="eastAsia"/>
          <w:sz w:val="28"/>
          <w:szCs w:val="28"/>
          <w:u w:val="single"/>
        </w:rPr>
        <w:t>单位负责人为同一人或者存在直接控股、管理关系的不同供应商，同时参加同一包的采购活动；</w:t>
      </w:r>
    </w:p>
    <w:p w14:paraId="31A9746D">
      <w:pPr>
        <w:spacing w:line="360" w:lineRule="auto"/>
        <w:ind w:firstLine="420"/>
        <w:rPr>
          <w:sz w:val="28"/>
          <w:szCs w:val="28"/>
          <w:u w:val="single"/>
        </w:rPr>
      </w:pPr>
      <w:r>
        <w:rPr>
          <w:rFonts w:hint="eastAsia" w:ascii="宋体" w:hAnsi="宋体" w:cs="宋体"/>
          <w:sz w:val="28"/>
          <w:szCs w:val="28"/>
          <w:u w:val="single"/>
        </w:rPr>
        <w:t>7.我方不存在：</w:t>
      </w:r>
      <w:r>
        <w:rPr>
          <w:rFonts w:hint="eastAsia"/>
          <w:sz w:val="28"/>
          <w:szCs w:val="28"/>
          <w:u w:val="single"/>
        </w:rPr>
        <w:t>我方与其他报价方企业生产场地为同一地址；</w:t>
      </w:r>
    </w:p>
    <w:p w14:paraId="4CE447D3">
      <w:pPr>
        <w:spacing w:line="360" w:lineRule="auto"/>
        <w:ind w:firstLine="420"/>
        <w:rPr>
          <w:sz w:val="28"/>
          <w:szCs w:val="28"/>
          <w:u w:val="single"/>
        </w:rPr>
      </w:pPr>
      <w:r>
        <w:rPr>
          <w:rFonts w:cs="Times New Roman"/>
          <w:sz w:val="28"/>
          <w:szCs w:val="28"/>
          <w:u w:val="single"/>
        </w:rPr>
        <w:t>8.</w:t>
      </w:r>
      <w:r>
        <w:rPr>
          <w:rFonts w:hint="eastAsia" w:ascii="宋体" w:hAnsi="宋体" w:cs="宋体"/>
          <w:sz w:val="28"/>
          <w:szCs w:val="28"/>
          <w:u w:val="single"/>
        </w:rPr>
        <w:t>我方不存在：</w:t>
      </w:r>
      <w:r>
        <w:rPr>
          <w:rFonts w:hint="eastAsia"/>
          <w:sz w:val="28"/>
          <w:szCs w:val="28"/>
          <w:u w:val="single"/>
        </w:rPr>
        <w:t>我方与其他报价方之间股东关联；</w:t>
      </w:r>
    </w:p>
    <w:p w14:paraId="6CA43567">
      <w:pPr>
        <w:spacing w:line="360" w:lineRule="auto"/>
        <w:ind w:firstLine="420"/>
        <w:rPr>
          <w:sz w:val="28"/>
          <w:szCs w:val="28"/>
          <w:u w:val="single"/>
        </w:rPr>
      </w:pPr>
      <w:r>
        <w:rPr>
          <w:rFonts w:hint="eastAsia"/>
          <w:sz w:val="28"/>
          <w:szCs w:val="28"/>
          <w:u w:val="single"/>
        </w:rPr>
        <w:t>9.我单位随时愿意提供相关证明材料并随时接受采购人或代理机构的检查验证；</w:t>
      </w:r>
    </w:p>
    <w:p w14:paraId="72A1A2C1">
      <w:pPr>
        <w:spacing w:line="360" w:lineRule="auto"/>
        <w:ind w:firstLine="420"/>
        <w:rPr>
          <w:sz w:val="28"/>
          <w:szCs w:val="28"/>
        </w:rPr>
      </w:pPr>
      <w:r>
        <w:rPr>
          <w:rFonts w:hint="eastAsia"/>
          <w:sz w:val="28"/>
          <w:szCs w:val="28"/>
          <w:u w:val="single"/>
        </w:rPr>
        <w:t xml:space="preserve">10.                                    </w:t>
      </w:r>
      <w:r>
        <w:rPr>
          <w:rFonts w:hint="eastAsia"/>
          <w:sz w:val="28"/>
          <w:szCs w:val="28"/>
        </w:rPr>
        <w:t>（如有，请自行填写）。</w:t>
      </w:r>
    </w:p>
    <w:p w14:paraId="3DEDCD82">
      <w:pPr>
        <w:spacing w:line="360" w:lineRule="auto"/>
        <w:ind w:firstLine="420"/>
        <w:rPr>
          <w:sz w:val="28"/>
          <w:szCs w:val="28"/>
        </w:rPr>
      </w:pPr>
      <w:r>
        <w:rPr>
          <w:rFonts w:hint="eastAsia"/>
          <w:sz w:val="28"/>
          <w:szCs w:val="28"/>
        </w:rPr>
        <w:t>我方了解，虚假声明是严重的违法行为。本声明如有虚假，我方愿意接受有关法律、法规和规章给予的处罚，并自愿承担被取消报价、成交资格、没收询价保证金（如有）、解除合同以及赔偿本项目采购人损失的后果。</w:t>
      </w:r>
    </w:p>
    <w:p w14:paraId="66F1D6C1">
      <w:pPr>
        <w:spacing w:line="360" w:lineRule="auto"/>
        <w:ind w:firstLine="420"/>
        <w:rPr>
          <w:sz w:val="28"/>
          <w:szCs w:val="28"/>
        </w:rPr>
      </w:pPr>
    </w:p>
    <w:p w14:paraId="66C8A4D8">
      <w:pPr>
        <w:spacing w:line="360" w:lineRule="auto"/>
        <w:ind w:firstLine="4457" w:firstLineChars="1592"/>
        <w:jc w:val="right"/>
        <w:rPr>
          <w:sz w:val="28"/>
          <w:szCs w:val="28"/>
          <w:lang w:val="zh-CN"/>
        </w:rPr>
      </w:pPr>
      <w:r>
        <w:rPr>
          <w:rFonts w:hint="eastAsia"/>
          <w:sz w:val="28"/>
          <w:szCs w:val="28"/>
          <w:lang w:val="zh-CN"/>
        </w:rPr>
        <w:t>报价方全称：（盖章）</w:t>
      </w:r>
    </w:p>
    <w:p w14:paraId="3A68E08A">
      <w:pPr>
        <w:spacing w:line="360" w:lineRule="auto"/>
        <w:ind w:firstLine="1680" w:firstLineChars="600"/>
        <w:jc w:val="right"/>
        <w:rPr>
          <w:sz w:val="28"/>
          <w:szCs w:val="28"/>
          <w:lang w:val="zh-CN"/>
        </w:rPr>
      </w:pPr>
      <w:r>
        <w:rPr>
          <w:rFonts w:hint="eastAsia"/>
          <w:sz w:val="28"/>
          <w:szCs w:val="28"/>
          <w:lang w:val="zh-CN"/>
        </w:rPr>
        <w:t>法定代表人（或授权代表）：（签字或盖章）</w:t>
      </w:r>
    </w:p>
    <w:p w14:paraId="647AE174">
      <w:pPr>
        <w:spacing w:line="360" w:lineRule="auto"/>
        <w:ind w:firstLine="4457" w:firstLineChars="1592"/>
        <w:jc w:val="right"/>
        <w:rPr>
          <w:sz w:val="28"/>
          <w:szCs w:val="28"/>
          <w:lang w:val="zh-CN"/>
        </w:rPr>
      </w:pPr>
      <w:r>
        <w:rPr>
          <w:rFonts w:hint="eastAsia"/>
          <w:sz w:val="28"/>
          <w:szCs w:val="28"/>
          <w:lang w:val="zh-CN"/>
        </w:rPr>
        <w:t>日期：年</w:t>
      </w:r>
      <w:r>
        <w:rPr>
          <w:rFonts w:hint="eastAsia"/>
          <w:sz w:val="28"/>
          <w:szCs w:val="28"/>
        </w:rPr>
        <w:t xml:space="preserve">  </w:t>
      </w:r>
      <w:r>
        <w:rPr>
          <w:rFonts w:hint="eastAsia"/>
          <w:sz w:val="28"/>
          <w:szCs w:val="28"/>
          <w:lang w:val="zh-CN"/>
        </w:rPr>
        <w:t>月</w:t>
      </w:r>
      <w:r>
        <w:rPr>
          <w:rFonts w:hint="eastAsia"/>
          <w:sz w:val="28"/>
          <w:szCs w:val="28"/>
        </w:rPr>
        <w:t xml:space="preserve">  </w:t>
      </w:r>
      <w:r>
        <w:rPr>
          <w:rFonts w:hint="eastAsia"/>
          <w:sz w:val="28"/>
          <w:szCs w:val="28"/>
          <w:lang w:val="zh-CN"/>
        </w:rPr>
        <w:t>日</w:t>
      </w:r>
    </w:p>
    <w:p w14:paraId="5927F861">
      <w:pPr>
        <w:spacing w:line="360" w:lineRule="auto"/>
        <w:rPr>
          <w:u w:val="single"/>
        </w:rPr>
      </w:pPr>
    </w:p>
    <w:p w14:paraId="6D7087E3">
      <w:pPr>
        <w:spacing w:line="360" w:lineRule="auto"/>
      </w:pPr>
    </w:p>
    <w:p w14:paraId="111A09D3">
      <w:pPr>
        <w:spacing w:line="360" w:lineRule="auto"/>
      </w:pPr>
    </w:p>
    <w:p w14:paraId="2EF7AEF5">
      <w:pPr>
        <w:spacing w:line="360" w:lineRule="auto"/>
      </w:pPr>
    </w:p>
    <w:p w14:paraId="6EFFB588">
      <w:pPr>
        <w:spacing w:line="360" w:lineRule="auto"/>
      </w:pPr>
    </w:p>
    <w:p w14:paraId="62E41C03">
      <w:pPr>
        <w:spacing w:line="360" w:lineRule="auto"/>
      </w:pPr>
    </w:p>
    <w:p w14:paraId="641397CC">
      <w:pPr>
        <w:spacing w:line="360" w:lineRule="auto"/>
      </w:pPr>
    </w:p>
    <w:p w14:paraId="5EB35ED9">
      <w:pPr>
        <w:spacing w:line="360" w:lineRule="auto"/>
      </w:pPr>
    </w:p>
    <w:p w14:paraId="224AA0B2">
      <w:pPr>
        <w:spacing w:line="360" w:lineRule="auto"/>
      </w:pPr>
    </w:p>
    <w:p w14:paraId="24039BCA">
      <w:pPr>
        <w:spacing w:line="360" w:lineRule="auto"/>
      </w:pPr>
    </w:p>
    <w:p w14:paraId="397C6708">
      <w:pPr>
        <w:spacing w:line="360" w:lineRule="auto"/>
      </w:pPr>
    </w:p>
    <w:p w14:paraId="74895ECB">
      <w:pPr>
        <w:spacing w:line="360" w:lineRule="auto"/>
      </w:pPr>
    </w:p>
    <w:p w14:paraId="55067720">
      <w:pPr>
        <w:spacing w:line="360" w:lineRule="auto"/>
      </w:pPr>
    </w:p>
    <w:p w14:paraId="7414D752">
      <w:pPr>
        <w:spacing w:line="360" w:lineRule="auto"/>
      </w:pPr>
    </w:p>
    <w:p w14:paraId="5E9556AE">
      <w:pPr>
        <w:spacing w:line="360" w:lineRule="auto"/>
      </w:pPr>
      <w:bookmarkStart w:id="2" w:name="_GoBack"/>
      <w:bookmarkEnd w:id="2"/>
    </w:p>
    <w:p w14:paraId="222B2EA6">
      <w:pPr>
        <w:spacing w:line="360" w:lineRule="auto"/>
        <w:jc w:val="left"/>
        <w:rPr>
          <w:rFonts w:cs="Times New Roman"/>
          <w:spacing w:val="-2"/>
          <w14:ligatures w14:val="standardContextual"/>
        </w:rPr>
      </w:pPr>
      <w:r>
        <w:rPr>
          <w:rFonts w:hint="eastAsia" w:cs="Times New Roman"/>
          <w:spacing w:val="-2"/>
          <w14:ligatures w14:val="standardContextual"/>
        </w:rPr>
        <w:t>附件5</w:t>
      </w:r>
    </w:p>
    <w:p w14:paraId="6DA95D2F">
      <w:pPr>
        <w:spacing w:after="120" w:line="360" w:lineRule="auto"/>
        <w:ind w:firstLine="723"/>
        <w:jc w:val="center"/>
        <w:rPr>
          <w:b/>
          <w:bCs/>
          <w:sz w:val="36"/>
          <w:szCs w:val="44"/>
        </w:rPr>
      </w:pPr>
      <w:r>
        <w:rPr>
          <w:b/>
          <w:bCs/>
          <w:sz w:val="36"/>
          <w:szCs w:val="44"/>
        </w:rPr>
        <w:t>承诺书</w:t>
      </w:r>
    </w:p>
    <w:p w14:paraId="1568CDD6">
      <w:pPr>
        <w:spacing w:line="360" w:lineRule="auto"/>
        <w:rPr>
          <w:sz w:val="28"/>
          <w:szCs w:val="28"/>
        </w:rPr>
      </w:pPr>
      <w:r>
        <w:rPr>
          <w:sz w:val="28"/>
          <w:szCs w:val="28"/>
        </w:rPr>
        <w:t>致：</w:t>
      </w:r>
      <w:r>
        <w:rPr>
          <w:rFonts w:hint="eastAsia"/>
          <w:sz w:val="28"/>
          <w:szCs w:val="28"/>
        </w:rPr>
        <w:t>金凤实验室</w:t>
      </w:r>
    </w:p>
    <w:p w14:paraId="70AD44A9">
      <w:pPr>
        <w:spacing w:line="360" w:lineRule="auto"/>
        <w:ind w:firstLine="560" w:firstLineChars="200"/>
        <w:rPr>
          <w:sz w:val="28"/>
          <w:szCs w:val="28"/>
        </w:rPr>
      </w:pPr>
      <w:r>
        <w:rPr>
          <w:sz w:val="28"/>
          <w:szCs w:val="28"/>
        </w:rPr>
        <w:t>我方参加贵单位组织的</w:t>
      </w:r>
      <w:r>
        <w:rPr>
          <w:sz w:val="28"/>
          <w:szCs w:val="28"/>
          <w:u w:val="single"/>
        </w:rPr>
        <w:t>金凤实验室生物样本库50万</w:t>
      </w:r>
      <w:r>
        <w:rPr>
          <w:rFonts w:hint="eastAsia"/>
          <w:sz w:val="28"/>
          <w:szCs w:val="28"/>
          <w:u w:val="single"/>
        </w:rPr>
        <w:t>张</w:t>
      </w:r>
      <w:r>
        <w:rPr>
          <w:sz w:val="28"/>
          <w:szCs w:val="28"/>
          <w:u w:val="single"/>
        </w:rPr>
        <w:t>数字病理切片扫描服务项目</w:t>
      </w:r>
      <w:r>
        <w:rPr>
          <w:sz w:val="28"/>
          <w:szCs w:val="28"/>
        </w:rPr>
        <w:t>采购活动，现就有关事项郑重承诺</w:t>
      </w:r>
      <w:r>
        <w:rPr>
          <w:rFonts w:hint="eastAsia"/>
          <w:sz w:val="28"/>
          <w:szCs w:val="28"/>
        </w:rPr>
        <w:t>如下</w:t>
      </w:r>
      <w:r>
        <w:rPr>
          <w:sz w:val="28"/>
          <w:szCs w:val="28"/>
        </w:rPr>
        <w:t>：</w:t>
      </w:r>
    </w:p>
    <w:p w14:paraId="422FF0E5">
      <w:pPr>
        <w:spacing w:line="360" w:lineRule="auto"/>
        <w:ind w:firstLine="560" w:firstLineChars="200"/>
        <w:rPr>
          <w:sz w:val="28"/>
          <w:szCs w:val="28"/>
        </w:rPr>
      </w:pPr>
      <w:r>
        <w:rPr>
          <w:rFonts w:hint="eastAsia"/>
          <w:sz w:val="28"/>
          <w:szCs w:val="28"/>
        </w:rPr>
        <w:t>1.</w:t>
      </w:r>
      <w:r>
        <w:rPr>
          <w:sz w:val="28"/>
          <w:szCs w:val="28"/>
        </w:rPr>
        <w:t>全面响应要求：我方已仔细阅读并充分理解贵方发布的招标文件的全部内容、要求及条款，并无条件接受。</w:t>
      </w:r>
    </w:p>
    <w:p w14:paraId="44395171">
      <w:pPr>
        <w:spacing w:line="360" w:lineRule="auto"/>
        <w:ind w:firstLine="560" w:firstLineChars="200"/>
        <w:rPr>
          <w:sz w:val="28"/>
          <w:szCs w:val="28"/>
        </w:rPr>
      </w:pPr>
      <w:r>
        <w:rPr>
          <w:rFonts w:hint="eastAsia"/>
          <w:sz w:val="28"/>
          <w:szCs w:val="28"/>
        </w:rPr>
        <w:t>2.</w:t>
      </w:r>
      <w:r>
        <w:rPr>
          <w:sz w:val="28"/>
          <w:szCs w:val="28"/>
        </w:rPr>
        <w:t>提供合格产品/服务：我方承诺，将严格按照招标文件、我方投标文件（如有）及最终合同约定，提供完全符合质量、规格、性能及技术要求的产品/服务。</w:t>
      </w:r>
    </w:p>
    <w:p w14:paraId="65F62421">
      <w:pPr>
        <w:spacing w:line="360" w:lineRule="auto"/>
        <w:ind w:firstLine="560" w:firstLineChars="200"/>
        <w:rPr>
          <w:sz w:val="28"/>
          <w:szCs w:val="28"/>
        </w:rPr>
      </w:pPr>
      <w:r>
        <w:rPr>
          <w:rFonts w:hint="eastAsia"/>
          <w:sz w:val="28"/>
          <w:szCs w:val="28"/>
        </w:rPr>
        <w:t>3.</w:t>
      </w:r>
      <w:r>
        <w:rPr>
          <w:sz w:val="28"/>
          <w:szCs w:val="28"/>
        </w:rPr>
        <w:t>履约保证：我方承诺将严格履行合同义务，确保按招标文件和合同规定的时间、地点、数量、标准完成交付或提供服务。</w:t>
      </w:r>
    </w:p>
    <w:p w14:paraId="2ED4FC27">
      <w:pPr>
        <w:spacing w:line="360" w:lineRule="auto"/>
        <w:ind w:firstLine="560" w:firstLineChars="200"/>
        <w:rPr>
          <w:sz w:val="28"/>
          <w:szCs w:val="28"/>
        </w:rPr>
      </w:pPr>
      <w:r>
        <w:rPr>
          <w:rFonts w:hint="eastAsia"/>
          <w:sz w:val="28"/>
          <w:szCs w:val="28"/>
        </w:rPr>
        <w:t>4.</w:t>
      </w:r>
      <w:r>
        <w:rPr>
          <w:sz w:val="28"/>
          <w:szCs w:val="28"/>
        </w:rPr>
        <w:t>遵守法规与诚信：我方承诺在投标、合同谈判（如有）、合同履行及售后服务等所有环节中，均严格遵守国家及地方相关法律法规、行业规范和市场规则，秉持诚实守信、公平竞争的原则。</w:t>
      </w:r>
    </w:p>
    <w:p w14:paraId="3BDA28CE">
      <w:pPr>
        <w:spacing w:line="360" w:lineRule="auto"/>
        <w:ind w:firstLine="560" w:firstLineChars="200"/>
        <w:rPr>
          <w:sz w:val="28"/>
          <w:szCs w:val="28"/>
        </w:rPr>
      </w:pPr>
      <w:r>
        <w:rPr>
          <w:rFonts w:hint="eastAsia"/>
          <w:sz w:val="28"/>
          <w:szCs w:val="28"/>
        </w:rPr>
        <w:t>5.</w:t>
      </w:r>
      <w:r>
        <w:rPr>
          <w:sz w:val="28"/>
          <w:szCs w:val="28"/>
        </w:rPr>
        <w:t>承担违约责任</w:t>
      </w:r>
      <w:r>
        <w:rPr>
          <w:rFonts w:hint="eastAsia"/>
          <w:sz w:val="28"/>
          <w:szCs w:val="28"/>
        </w:rPr>
        <w:t>：</w:t>
      </w:r>
      <w:r>
        <w:rPr>
          <w:sz w:val="28"/>
          <w:szCs w:val="28"/>
        </w:rPr>
        <w:t>我方理解并承诺，如未能履行本承诺书及合同约定的任何义务，我方将自愿承担由此引起的一切法律责任及贵方依据招标文件和合同条款采取的处理措施（包括但不限于经济赔偿、合同解除等）。</w:t>
      </w:r>
    </w:p>
    <w:p w14:paraId="3B5C2900">
      <w:pPr>
        <w:spacing w:line="360" w:lineRule="auto"/>
        <w:ind w:firstLine="560" w:firstLineChars="200"/>
        <w:rPr>
          <w:sz w:val="28"/>
          <w:szCs w:val="28"/>
        </w:rPr>
      </w:pPr>
      <w:r>
        <w:rPr>
          <w:sz w:val="28"/>
          <w:szCs w:val="28"/>
        </w:rPr>
        <w:t>本承诺书自我方签署之日起生效，对双方最终签订的合同具有补充效力。</w:t>
      </w:r>
    </w:p>
    <w:p w14:paraId="599DA763">
      <w:pPr>
        <w:spacing w:line="360" w:lineRule="auto"/>
        <w:ind w:firstLine="4457" w:firstLineChars="1592"/>
        <w:jc w:val="right"/>
        <w:rPr>
          <w:sz w:val="28"/>
          <w:szCs w:val="28"/>
          <w:lang w:val="zh-CN"/>
        </w:rPr>
      </w:pPr>
      <w:r>
        <w:rPr>
          <w:rFonts w:hint="eastAsia"/>
          <w:sz w:val="28"/>
          <w:szCs w:val="28"/>
          <w:lang w:val="zh-CN"/>
        </w:rPr>
        <w:t>报价方全称：（盖章）</w:t>
      </w:r>
    </w:p>
    <w:p w14:paraId="102B5842">
      <w:pPr>
        <w:spacing w:line="360" w:lineRule="auto"/>
        <w:ind w:firstLine="1680" w:firstLineChars="600"/>
        <w:jc w:val="right"/>
        <w:rPr>
          <w:sz w:val="28"/>
          <w:szCs w:val="28"/>
          <w:lang w:val="zh-CN"/>
        </w:rPr>
      </w:pPr>
      <w:r>
        <w:rPr>
          <w:rFonts w:hint="eastAsia"/>
          <w:sz w:val="28"/>
          <w:szCs w:val="28"/>
          <w:lang w:val="zh-CN"/>
        </w:rPr>
        <w:t>法定代表人（或授权代表）：（签字或盖章）</w:t>
      </w:r>
    </w:p>
    <w:p w14:paraId="69E5A6E7">
      <w:pPr>
        <w:spacing w:line="360" w:lineRule="auto"/>
        <w:ind w:firstLine="4457" w:firstLineChars="1592"/>
        <w:jc w:val="right"/>
      </w:pPr>
      <w:r>
        <w:rPr>
          <w:rFonts w:hint="eastAsia"/>
          <w:sz w:val="28"/>
          <w:szCs w:val="28"/>
          <w:lang w:val="zh-CN"/>
        </w:rPr>
        <w:t>日期：年</w:t>
      </w:r>
      <w:r>
        <w:rPr>
          <w:rFonts w:hint="eastAsia"/>
          <w:sz w:val="28"/>
          <w:szCs w:val="28"/>
        </w:rPr>
        <w:t xml:space="preserve">  </w:t>
      </w:r>
      <w:r>
        <w:rPr>
          <w:rFonts w:hint="eastAsia"/>
          <w:sz w:val="28"/>
          <w:szCs w:val="28"/>
          <w:lang w:val="zh-CN"/>
        </w:rPr>
        <w:t>月</w:t>
      </w:r>
      <w:r>
        <w:rPr>
          <w:rFonts w:hint="eastAsia"/>
          <w:sz w:val="28"/>
          <w:szCs w:val="28"/>
        </w:rPr>
        <w:t xml:space="preserve">  </w:t>
      </w:r>
      <w:r>
        <w:rPr>
          <w:rFonts w:hint="eastAsia"/>
          <w:sz w:val="28"/>
          <w:szCs w:val="28"/>
          <w:lang w:val="zh-CN"/>
        </w:rPr>
        <w:t>日</w:t>
      </w:r>
    </w:p>
    <w:p w14:paraId="4082A7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Arial Unicode MS"/>
    <w:panose1 w:val="03000509000000000000"/>
    <w:charset w:val="86"/>
    <w:family w:val="script"/>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5E593">
    <w:pPr>
      <w:pStyle w:val="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7C0F77"/>
    <w:rsid w:val="697C0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2025-09-15T02:22:00Z</dcterms:created>
  <dc:creator>Admin</dc:creator>
  <cp:lastModifiedBy>Admin</cp:lastModifiedBy>
  <dcterms:modified xsi:type="dcterms:W3CDTF">2025-09-15T02:24:30Z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1E41575884DD4CBD8C1999743E84D7CB_11</vt:lpwstr>
  </property>
  <property fmtid="{D5CDD505-2E9C-101B-9397-08002B2CF9AE}" pid="4" name="KSOTemplateDocerSaveRecord">
    <vt:lpwstr>eyJoZGlkIjoiNTQyMzJlNmViZTdkNGMxNDMxY2NmNmVmYTcxOTYxOGEifQ==</vt:lpwstr>
  </property>
</Properties>
</file>