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BEBA7">
      <w:pPr>
        <w:widowControl/>
        <w:spacing w:line="240" w:lineRule="auto"/>
        <w:ind w:right="0"/>
        <w:jc w:val="left"/>
        <w:rPr>
          <w:rFonts w:hint="eastAsia" w:ascii="Times New Roman" w:hAnsi="Times New Roman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  <w:t>附件1</w:t>
      </w:r>
    </w:p>
    <w:p w14:paraId="0C8F5C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00" w:lineRule="exact"/>
        <w:ind w:right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  <w:t>金凤实验室简介</w:t>
      </w:r>
    </w:p>
    <w:p w14:paraId="00C9D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金凤实验室伴随着成渝地区双城经济圈建设应运而生，是西部（重庆）科学城“头号工程”，是我市构建“416”科技创新布局的首家“重庆实验室”。实验室以“重大疾病的下一代诊断”为核心任务，以原始理论创新和“卡脖子”技术基础理论突破为首要目标，布局科研平台，广聚天下英才，构建科研矩阵，开展有组织科研，加快打造开放型、枢纽型、平台型科技创新地，努力开辟未来诊疗产业发展新赛道。实验室占地面积128亩，建筑面积13.5万m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，配套建设30万m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的高端人才住房、1100亩的凤栖湖公园。实验室学术氛围浓厚、科研条件完善、配套服务齐全，既是施展才华、创新创业的舞台，又是勇攀高峰、实现梦想的平台。</w:t>
      </w:r>
    </w:p>
    <w:p w14:paraId="651192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828D6"/>
    <w:rsid w:val="60E8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2025-06-03T07:16:00Z</dcterms:created>
  <dc:creator>WPS_1697879037</dc:creator>
  <cp:lastModifiedBy>WPS_1697879037</cp:lastModifiedBy>
  <dcterms:modified xsi:type="dcterms:W3CDTF">2025-06-03T07:17:01Z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AF19D3DA344E426DB9DBB81B704C4B3B_11</vt:lpwstr>
  </property>
  <property fmtid="{D5CDD505-2E9C-101B-9397-08002B2CF9AE}" pid="4" name="KSOTemplateDocerSaveRecord">
    <vt:lpwstr>eyJoZGlkIjoiNTQyMzJlNmViZTdkNGMxNDMxY2NmNmVmYTcxOTYxOGEiLCJ1c2VySWQiOiIxNTUxNzYyNTE4In0=</vt:lpwstr>
  </property>
</Properties>
</file>