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A1F0">
      <w:pPr>
        <w:widowControl/>
        <w:jc w:val="left"/>
        <w:rPr>
          <w:rFonts w:ascii="Times New Roman" w:hAnsi="Times New Roman" w:eastAsia="方正黑体_GBK" w:cs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</w:rPr>
        <w:t>附件1</w:t>
      </w:r>
    </w:p>
    <w:p w14:paraId="3244223B">
      <w:pPr>
        <w:widowControl/>
        <w:spacing w:before="312" w:beforeLines="100" w:after="312" w:afterLines="100" w:line="50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金凤实验室简介</w:t>
      </w:r>
    </w:p>
    <w:p w14:paraId="66540E0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金凤实验室伴随着成渝地区双城经济圈建设应运而生，是西部（重庆）科学城“头号工程”，是我市构建“416”科技创新布局的首家“重庆实验室”。实验室以“重大疾病的下一代诊断”为核心任务，以原始理论创新和“卡脖子”技术基础理论突破为首要目标，布局科研平台，广聚天下英才，构建科研矩阵，开展有组织科研，加快打造开放型、枢纽型、平台型科技创新地，努力开辟未来诊疗产业发展新赛道。实验室占地面积128亩，建筑面积13.5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，配套建设30万m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的高端人才住房、1100亩的凤栖湖公园。实验室学术氛围浓厚、科研条件完善、配套服务齐全，既是施展才华、创新创业的舞台，又是勇攀高峰、实现梦想的平台。</w:t>
      </w:r>
    </w:p>
    <w:p w14:paraId="0EF299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64F00"/>
    <w:rsid w:val="557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2025-03-25T12:25:00Z</dcterms:created>
  <dc:creator>云呐</dc:creator>
  <cp:lastModifiedBy>云呐</cp:lastModifiedBy>
  <dcterms:modified xsi:type="dcterms:W3CDTF">2025-03-25T12:26:12Z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E2FB4D9A905946DC99C1913A5234A140_11</vt:lpwstr>
  </property>
  <property fmtid="{D5CDD505-2E9C-101B-9397-08002B2CF9AE}" pid="4" name="KSOTemplateDocerSaveRecord">
    <vt:lpwstr>eyJoZGlkIjoiMjBlMDllMjE4MWE3MWI4ZTRjZmUyNzE1ZDMwMDEzMWYiLCJ1c2VySWQiOiIxMjM0NjM2NDM3In0=</vt:lpwstr>
  </property>
</Properties>
</file>