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F22E8">
      <w:pPr>
        <w:numPr>
          <w:ilvl w:val="255"/>
          <w:numId w:val="0"/>
        </w:numPr>
        <w:spacing w:line="600" w:lineRule="exact"/>
        <w:contextualSpacing/>
        <w:rPr>
          <w:rFonts w:ascii="Times New Roman" w:hAnsi="Times New Roman" w:eastAsia="方正黑体_GBK" w:cs="Times New Roman"/>
          <w:kern w:val="2"/>
          <w:sz w:val="32"/>
          <w:szCs w:val="32"/>
          <w14:ligatures w14:val="standardContextual"/>
        </w:rPr>
      </w:pPr>
      <w:r>
        <w:rPr>
          <w:rFonts w:hint="eastAsia" w:ascii="Times New Roman" w:hAnsi="Times New Roman" w:eastAsia="方正黑体_GBK" w:cs="Times New Roman"/>
          <w:kern w:val="2"/>
          <w:sz w:val="32"/>
          <w:szCs w:val="32"/>
          <w14:ligatures w14:val="standardContextual"/>
        </w:rPr>
        <w:t>附件1</w:t>
      </w:r>
    </w:p>
    <w:p w14:paraId="792C5D89">
      <w:pPr>
        <w:spacing w:line="600" w:lineRule="exact"/>
        <w:jc w:val="center"/>
        <w:rPr>
          <w:rFonts w:ascii="方正黑体_GBK" w:hAnsi="方正黑体_GBK" w:eastAsia="方正黑体_GBK" w:cs="方正黑体_GBK"/>
          <w:kern w:val="2"/>
          <w:sz w:val="32"/>
          <w:szCs w:val="32"/>
          <w14:ligatures w14:val="standardContextual"/>
        </w:rPr>
      </w:pPr>
      <w:r>
        <w:rPr>
          <w:rFonts w:hint="eastAsia" w:ascii="方正黑体_GBK" w:hAnsi="方正黑体_GBK" w:eastAsia="方正黑体_GBK" w:cs="方正黑体_GBK"/>
          <w:kern w:val="2"/>
          <w:sz w:val="32"/>
          <w:szCs w:val="32"/>
          <w14:ligatures w14:val="standardContextual"/>
        </w:rPr>
        <w:t>采购需求一览表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66"/>
        <w:gridCol w:w="4648"/>
        <w:gridCol w:w="958"/>
        <w:gridCol w:w="866"/>
      </w:tblGrid>
      <w:tr w14:paraId="1D7F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00" w:type="pct"/>
            <w:shd w:val="clear" w:color="auto" w:fill="auto"/>
            <w:vAlign w:val="center"/>
          </w:tcPr>
          <w:p w14:paraId="38AA822C">
            <w:pPr>
              <w:widowControl/>
              <w:spacing w:line="440" w:lineRule="exact"/>
              <w:textAlignment w:val="center"/>
              <w:rPr>
                <w:rFonts w:ascii="仿宋" w:hAnsi="仿宋" w:eastAsia="仿宋" w:cs="Times New Roman"/>
                <w:kern w:val="2"/>
                <w:sz w:val="28"/>
                <w:szCs w:val="28"/>
              </w:rPr>
            </w:pPr>
            <w:r>
              <w:rPr>
                <w:rFonts w:ascii="仿宋" w:hAnsi="仿宋" w:eastAsia="仿宋" w:cs="Times New Roman"/>
                <w:color w:val="000000"/>
                <w:kern w:val="0"/>
                <w:sz w:val="28"/>
                <w:szCs w:val="28"/>
                <w:lang w:bidi="ar"/>
              </w:rPr>
              <w:t>序号</w:t>
            </w:r>
          </w:p>
        </w:tc>
        <w:tc>
          <w:tcPr>
            <w:tcW w:w="802" w:type="pct"/>
            <w:shd w:val="clear" w:color="auto" w:fill="auto"/>
            <w:vAlign w:val="center"/>
          </w:tcPr>
          <w:p w14:paraId="15EDA838">
            <w:pPr>
              <w:widowControl/>
              <w:spacing w:line="440" w:lineRule="exact"/>
              <w:textAlignment w:val="center"/>
              <w:rPr>
                <w:rFonts w:ascii="仿宋" w:hAnsi="仿宋" w:eastAsia="仿宋" w:cs="Times New Roman"/>
                <w:kern w:val="0"/>
                <w:sz w:val="28"/>
                <w:szCs w:val="28"/>
              </w:rPr>
            </w:pPr>
            <w:r>
              <w:rPr>
                <w:rFonts w:hint="eastAsia" w:ascii="仿宋" w:hAnsi="仿宋" w:eastAsia="仿宋" w:cs="Times New Roman"/>
                <w:color w:val="000000"/>
                <w:kern w:val="0"/>
                <w:sz w:val="28"/>
                <w:szCs w:val="28"/>
                <w:lang w:bidi="ar"/>
              </w:rPr>
              <w:t>服务</w:t>
            </w:r>
            <w:r>
              <w:rPr>
                <w:rFonts w:ascii="仿宋" w:hAnsi="仿宋" w:eastAsia="仿宋" w:cs="Times New Roman"/>
                <w:color w:val="000000"/>
                <w:kern w:val="0"/>
                <w:sz w:val="28"/>
                <w:szCs w:val="28"/>
                <w:lang w:bidi="ar"/>
              </w:rPr>
              <w:t>名称</w:t>
            </w:r>
          </w:p>
        </w:tc>
        <w:tc>
          <w:tcPr>
            <w:tcW w:w="2728" w:type="pct"/>
            <w:shd w:val="clear" w:color="auto" w:fill="auto"/>
            <w:vAlign w:val="center"/>
          </w:tcPr>
          <w:p w14:paraId="1DEDAE88">
            <w:pPr>
              <w:widowControl/>
              <w:spacing w:line="440" w:lineRule="exact"/>
              <w:textAlignment w:val="center"/>
              <w:rPr>
                <w:rFonts w:ascii="仿宋" w:hAnsi="仿宋" w:eastAsia="仿宋" w:cs="Times New Roman"/>
                <w:kern w:val="0"/>
                <w:sz w:val="28"/>
                <w:szCs w:val="28"/>
              </w:rPr>
            </w:pPr>
            <w:r>
              <w:rPr>
                <w:rFonts w:ascii="仿宋" w:hAnsi="仿宋" w:eastAsia="仿宋" w:cs="Times New Roman"/>
                <w:color w:val="000000"/>
                <w:sz w:val="28"/>
                <w:szCs w:val="28"/>
              </w:rPr>
              <w:t>服务描述</w:t>
            </w:r>
          </w:p>
        </w:tc>
        <w:tc>
          <w:tcPr>
            <w:tcW w:w="562" w:type="pct"/>
            <w:shd w:val="clear" w:color="auto" w:fill="auto"/>
            <w:vAlign w:val="center"/>
          </w:tcPr>
          <w:p w14:paraId="1E37B109">
            <w:pPr>
              <w:widowControl/>
              <w:spacing w:line="440" w:lineRule="exact"/>
              <w:textAlignment w:val="center"/>
              <w:rPr>
                <w:rFonts w:ascii="仿宋" w:hAnsi="仿宋" w:eastAsia="仿宋" w:cs="Times New Roman"/>
                <w:kern w:val="0"/>
                <w:sz w:val="28"/>
                <w:szCs w:val="28"/>
              </w:rPr>
            </w:pPr>
            <w:r>
              <w:rPr>
                <w:rFonts w:hint="eastAsia" w:ascii="仿宋" w:hAnsi="仿宋" w:eastAsia="仿宋" w:cs="Times New Roman"/>
                <w:color w:val="000000"/>
                <w:sz w:val="28"/>
                <w:szCs w:val="28"/>
              </w:rPr>
              <w:t>测评数量</w:t>
            </w:r>
          </w:p>
        </w:tc>
        <w:tc>
          <w:tcPr>
            <w:tcW w:w="508" w:type="pct"/>
            <w:shd w:val="clear" w:color="auto" w:fill="auto"/>
            <w:vAlign w:val="center"/>
          </w:tcPr>
          <w:p w14:paraId="7755370E">
            <w:pPr>
              <w:widowControl/>
              <w:spacing w:line="440" w:lineRule="exact"/>
              <w:textAlignment w:val="center"/>
              <w:rPr>
                <w:rFonts w:ascii="仿宋" w:hAnsi="仿宋" w:eastAsia="仿宋" w:cs="Times New Roman"/>
                <w:color w:val="000000"/>
                <w:sz w:val="28"/>
                <w:szCs w:val="28"/>
              </w:rPr>
            </w:pPr>
            <w:r>
              <w:rPr>
                <w:rFonts w:hint="eastAsia" w:ascii="仿宋" w:hAnsi="仿宋" w:eastAsia="仿宋" w:cs="Times New Roman"/>
                <w:color w:val="000000"/>
                <w:sz w:val="28"/>
                <w:szCs w:val="28"/>
              </w:rPr>
              <w:t>售后服务</w:t>
            </w:r>
          </w:p>
        </w:tc>
      </w:tr>
      <w:tr w14:paraId="4311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00" w:type="pct"/>
            <w:shd w:val="clear" w:color="auto" w:fill="auto"/>
            <w:vAlign w:val="center"/>
          </w:tcPr>
          <w:p w14:paraId="3451B484">
            <w:pPr>
              <w:widowControl/>
              <w:spacing w:line="440" w:lineRule="exact"/>
              <w:textAlignment w:val="center"/>
              <w:rPr>
                <w:rFonts w:ascii="仿宋" w:hAnsi="仿宋" w:eastAsia="仿宋" w:cs="Times New Roman"/>
                <w:kern w:val="2"/>
                <w:sz w:val="28"/>
                <w:szCs w:val="28"/>
              </w:rPr>
            </w:pPr>
            <w:r>
              <w:rPr>
                <w:rFonts w:ascii="仿宋" w:hAnsi="仿宋" w:eastAsia="仿宋" w:cs="Times New Roman"/>
                <w:color w:val="000000"/>
                <w:kern w:val="0"/>
                <w:sz w:val="28"/>
                <w:szCs w:val="28"/>
                <w:lang w:bidi="ar"/>
              </w:rPr>
              <w:t>1</w:t>
            </w:r>
          </w:p>
        </w:tc>
        <w:tc>
          <w:tcPr>
            <w:tcW w:w="802" w:type="pct"/>
            <w:shd w:val="clear" w:color="auto" w:fill="auto"/>
            <w:vAlign w:val="center"/>
          </w:tcPr>
          <w:p w14:paraId="14887546">
            <w:pPr>
              <w:widowControl/>
              <w:spacing w:line="440" w:lineRule="exact"/>
              <w:textAlignment w:val="center"/>
              <w:rPr>
                <w:rFonts w:ascii="仿宋" w:hAnsi="仿宋" w:eastAsia="仿宋" w:cs="Times New Roman"/>
                <w:kern w:val="2"/>
                <w:sz w:val="28"/>
                <w:szCs w:val="28"/>
              </w:rPr>
            </w:pPr>
            <w:r>
              <w:rPr>
                <w:rFonts w:hint="eastAsia" w:ascii="仿宋" w:hAnsi="仿宋" w:eastAsia="仿宋" w:cs="Times New Roman"/>
                <w:kern w:val="2"/>
                <w:sz w:val="28"/>
                <w:szCs w:val="28"/>
              </w:rPr>
              <w:t>等级保护测评</w:t>
            </w:r>
          </w:p>
        </w:tc>
        <w:tc>
          <w:tcPr>
            <w:tcW w:w="2728" w:type="pct"/>
            <w:shd w:val="clear" w:color="auto" w:fill="auto"/>
            <w:vAlign w:val="center"/>
          </w:tcPr>
          <w:p w14:paraId="63903BA9">
            <w:pPr>
              <w:widowControl/>
              <w:spacing w:line="440" w:lineRule="exact"/>
              <w:textAlignment w:val="center"/>
              <w:rPr>
                <w:rFonts w:ascii="仿宋" w:hAnsi="仿宋" w:eastAsia="仿宋" w:cs="Times New Roman"/>
                <w:sz w:val="28"/>
                <w:szCs w:val="28"/>
              </w:rPr>
            </w:pPr>
            <w:r>
              <w:rPr>
                <w:rFonts w:ascii="仿宋" w:hAnsi="仿宋" w:eastAsia="仿宋" w:cs="Times New Roman"/>
                <w:sz w:val="28"/>
                <w:szCs w:val="28"/>
              </w:rPr>
              <w:t>依据GB/T 22239-2019 《网络安全等级保护基本要求》对</w:t>
            </w:r>
            <w:r>
              <w:rPr>
                <w:rFonts w:hint="eastAsia" w:ascii="仿宋" w:hAnsi="仿宋" w:eastAsia="仿宋" w:cs="Times New Roman"/>
                <w:sz w:val="28"/>
                <w:szCs w:val="28"/>
              </w:rPr>
              <w:t>金凤实验室官网</w:t>
            </w:r>
            <w:r>
              <w:rPr>
                <w:rFonts w:ascii="仿宋" w:hAnsi="仿宋" w:eastAsia="仿宋" w:cs="Times New Roman"/>
                <w:sz w:val="28"/>
                <w:szCs w:val="28"/>
              </w:rPr>
              <w:t>、远程诊断系统、实验室大脑进行三级等保测评。</w:t>
            </w:r>
          </w:p>
        </w:tc>
        <w:tc>
          <w:tcPr>
            <w:tcW w:w="562" w:type="pct"/>
            <w:vMerge w:val="restart"/>
            <w:shd w:val="clear" w:color="auto" w:fill="auto"/>
            <w:vAlign w:val="center"/>
          </w:tcPr>
          <w:p w14:paraId="2D374012">
            <w:pPr>
              <w:widowControl/>
              <w:spacing w:line="440" w:lineRule="exact"/>
              <w:textAlignment w:val="center"/>
              <w:rPr>
                <w:rFonts w:ascii="仿宋" w:hAnsi="仿宋" w:eastAsia="仿宋" w:cs="Times New Roman"/>
                <w:kern w:val="2"/>
                <w:sz w:val="28"/>
                <w:szCs w:val="28"/>
              </w:rPr>
            </w:pPr>
            <w:r>
              <w:rPr>
                <w:rFonts w:hint="eastAsia" w:ascii="仿宋" w:hAnsi="仿宋" w:eastAsia="仿宋" w:cs="Times New Roman"/>
                <w:color w:val="000000"/>
                <w:kern w:val="0"/>
                <w:sz w:val="28"/>
                <w:szCs w:val="28"/>
                <w:lang w:bidi="ar"/>
              </w:rPr>
              <w:t>3套</w:t>
            </w:r>
          </w:p>
        </w:tc>
        <w:tc>
          <w:tcPr>
            <w:tcW w:w="508" w:type="pct"/>
            <w:vMerge w:val="restart"/>
            <w:shd w:val="clear" w:color="auto" w:fill="auto"/>
            <w:vAlign w:val="center"/>
          </w:tcPr>
          <w:p w14:paraId="1F2BB626">
            <w:pPr>
              <w:widowControl/>
              <w:spacing w:line="440" w:lineRule="exact"/>
              <w:textAlignment w:val="center"/>
              <w:rPr>
                <w:rFonts w:ascii="仿宋" w:hAnsi="仿宋" w:eastAsia="仿宋" w:cs="Times New Roman"/>
                <w:color w:val="000000"/>
                <w:kern w:val="0"/>
                <w:sz w:val="28"/>
                <w:szCs w:val="28"/>
                <w:lang w:bidi="ar"/>
              </w:rPr>
            </w:pPr>
            <w:r>
              <w:rPr>
                <w:rFonts w:hint="eastAsia" w:ascii="仿宋" w:hAnsi="仿宋" w:eastAsia="仿宋" w:cs="Times New Roman"/>
                <w:color w:val="000000"/>
                <w:kern w:val="0"/>
                <w:sz w:val="28"/>
                <w:szCs w:val="28"/>
                <w:lang w:bidi="ar"/>
              </w:rPr>
              <w:t>1年</w:t>
            </w:r>
          </w:p>
        </w:tc>
      </w:tr>
      <w:tr w14:paraId="016B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00" w:type="pct"/>
            <w:shd w:val="clear" w:color="auto" w:fill="auto"/>
            <w:vAlign w:val="center"/>
          </w:tcPr>
          <w:p w14:paraId="7719B501">
            <w:pPr>
              <w:widowControl/>
              <w:spacing w:line="440" w:lineRule="exact"/>
              <w:textAlignment w:val="center"/>
              <w:rPr>
                <w:rFonts w:ascii="仿宋" w:hAnsi="仿宋" w:eastAsia="仿宋" w:cs="Times New Roman"/>
                <w:color w:val="000000"/>
                <w:kern w:val="0"/>
                <w:sz w:val="28"/>
                <w:szCs w:val="28"/>
                <w:lang w:bidi="ar"/>
              </w:rPr>
            </w:pPr>
            <w:r>
              <w:rPr>
                <w:rFonts w:hint="eastAsia" w:ascii="仿宋" w:hAnsi="仿宋" w:eastAsia="仿宋" w:cs="Times New Roman"/>
                <w:color w:val="000000"/>
                <w:kern w:val="0"/>
                <w:sz w:val="28"/>
                <w:szCs w:val="28"/>
                <w:lang w:bidi="ar"/>
              </w:rPr>
              <w:t>2</w:t>
            </w:r>
          </w:p>
        </w:tc>
        <w:tc>
          <w:tcPr>
            <w:tcW w:w="802" w:type="pct"/>
            <w:shd w:val="clear" w:color="auto" w:fill="auto"/>
            <w:vAlign w:val="center"/>
          </w:tcPr>
          <w:p w14:paraId="3FB4357A">
            <w:pPr>
              <w:widowControl/>
              <w:spacing w:line="440" w:lineRule="exact"/>
              <w:textAlignment w:val="center"/>
              <w:rPr>
                <w:rFonts w:ascii="仿宋" w:hAnsi="仿宋" w:eastAsia="仿宋" w:cs="Times New Roman"/>
                <w:kern w:val="2"/>
                <w:sz w:val="28"/>
                <w:szCs w:val="28"/>
              </w:rPr>
            </w:pPr>
            <w:r>
              <w:rPr>
                <w:rFonts w:ascii="仿宋" w:hAnsi="仿宋" w:eastAsia="仿宋" w:cs="Times New Roman"/>
                <w:color w:val="000000"/>
                <w:sz w:val="28"/>
                <w:szCs w:val="28"/>
              </w:rPr>
              <w:t>定级备案</w:t>
            </w:r>
          </w:p>
        </w:tc>
        <w:tc>
          <w:tcPr>
            <w:tcW w:w="2728" w:type="pct"/>
            <w:shd w:val="clear" w:color="auto" w:fill="auto"/>
            <w:vAlign w:val="center"/>
          </w:tcPr>
          <w:p w14:paraId="6EE57D7E">
            <w:pPr>
              <w:widowControl/>
              <w:spacing w:line="440" w:lineRule="exact"/>
              <w:textAlignment w:val="center"/>
              <w:rPr>
                <w:rFonts w:ascii="仿宋" w:hAnsi="仿宋" w:eastAsia="仿宋" w:cs="Times New Roman"/>
                <w:sz w:val="28"/>
                <w:szCs w:val="28"/>
              </w:rPr>
            </w:pPr>
            <w:r>
              <w:rPr>
                <w:rFonts w:ascii="仿宋" w:hAnsi="仿宋" w:eastAsia="仿宋" w:cs="Times New Roman"/>
                <w:sz w:val="28"/>
                <w:szCs w:val="28"/>
              </w:rPr>
              <w:t>协助完成远程诊断系统、门户网站、实验室大脑的定级备案工作。</w:t>
            </w:r>
          </w:p>
        </w:tc>
        <w:tc>
          <w:tcPr>
            <w:tcW w:w="562" w:type="pct"/>
            <w:vMerge w:val="continue"/>
            <w:shd w:val="clear" w:color="auto" w:fill="auto"/>
            <w:vAlign w:val="center"/>
          </w:tcPr>
          <w:p w14:paraId="1D321014">
            <w:pPr>
              <w:widowControl/>
              <w:spacing w:line="440" w:lineRule="exact"/>
              <w:textAlignment w:val="center"/>
              <w:rPr>
                <w:rFonts w:ascii="仿宋" w:hAnsi="仿宋" w:eastAsia="仿宋" w:cs="Times New Roman"/>
                <w:color w:val="000000"/>
                <w:kern w:val="0"/>
                <w:sz w:val="28"/>
                <w:szCs w:val="28"/>
                <w:lang w:bidi="ar"/>
              </w:rPr>
            </w:pPr>
          </w:p>
        </w:tc>
        <w:tc>
          <w:tcPr>
            <w:tcW w:w="508" w:type="pct"/>
            <w:vMerge w:val="continue"/>
            <w:shd w:val="clear" w:color="auto" w:fill="auto"/>
            <w:vAlign w:val="center"/>
          </w:tcPr>
          <w:p w14:paraId="59F519AE">
            <w:pPr>
              <w:widowControl/>
              <w:spacing w:line="440" w:lineRule="exact"/>
              <w:textAlignment w:val="center"/>
              <w:rPr>
                <w:rFonts w:ascii="仿宋" w:hAnsi="仿宋" w:eastAsia="仿宋" w:cs="Times New Roman"/>
                <w:color w:val="000000"/>
                <w:kern w:val="0"/>
                <w:sz w:val="28"/>
                <w:szCs w:val="28"/>
                <w:lang w:bidi="ar"/>
              </w:rPr>
            </w:pPr>
          </w:p>
        </w:tc>
      </w:tr>
    </w:tbl>
    <w:p w14:paraId="16F056A3">
      <w:pPr>
        <w:spacing w:line="600" w:lineRule="exact"/>
        <w:ind w:firstLine="640" w:firstLineChars="200"/>
        <w:rPr>
          <w:rStyle w:val="9"/>
          <w:rFonts w:ascii="方正黑体_GBK" w:hAnsi="方正黑体_GBK" w:eastAsia="方正黑体_GBK" w:cs="方正黑体_GBK"/>
          <w:color w:val="auto"/>
          <w:kern w:val="2"/>
          <w:sz w:val="32"/>
          <w:szCs w:val="32"/>
          <w:lang w:bidi="ar"/>
          <w14:ligatures w14:val="standardContextual"/>
        </w:rPr>
      </w:pPr>
      <w:r>
        <w:rPr>
          <w:rStyle w:val="9"/>
          <w:rFonts w:hint="eastAsia" w:ascii="方正黑体_GBK" w:hAnsi="方正黑体_GBK" w:eastAsia="方正黑体_GBK" w:cs="方正黑体_GBK"/>
          <w:color w:val="auto"/>
          <w:kern w:val="2"/>
          <w:sz w:val="32"/>
          <w:szCs w:val="32"/>
          <w:lang w:bidi="ar"/>
          <w14:ligatures w14:val="standardContextual"/>
        </w:rPr>
        <w:t>一、技术需求</w:t>
      </w:r>
    </w:p>
    <w:p w14:paraId="40CBF455">
      <w:pPr>
        <w:adjustRightInd w:val="0"/>
        <w:snapToGrid w:val="0"/>
        <w:spacing w:line="6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（一）质量要求及执行标准</w:t>
      </w:r>
    </w:p>
    <w:p w14:paraId="193E5EAA">
      <w:pPr>
        <w:pStyle w:val="3"/>
        <w:spacing w:line="600" w:lineRule="exact"/>
        <w:ind w:left="0" w:firstLine="640"/>
        <w:rPr>
          <w:rFonts w:ascii="仿宋" w:hAnsi="仿宋" w:eastAsia="仿宋" w:cs="方正仿宋_GBK"/>
          <w:sz w:val="32"/>
          <w:szCs w:val="32"/>
        </w:rPr>
      </w:pPr>
      <w:r>
        <w:rPr>
          <w:rFonts w:ascii="仿宋" w:hAnsi="仿宋" w:eastAsia="仿宋"/>
          <w:sz w:val="32"/>
          <w:szCs w:val="32"/>
        </w:rPr>
        <w:t>依据GB/T 22240-2020 《网络安全保护等级定级指南》、GB/T 22239-2019 《网络安全等级保护基本要求》等法规要求对金凤实验室官网、远程诊断系统、实验室大脑进行网络安全等级保护测评。在服务实施过程中</w:t>
      </w:r>
      <w:r>
        <w:rPr>
          <w:rFonts w:hint="eastAsia" w:ascii="仿宋" w:hAnsi="仿宋" w:eastAsia="仿宋"/>
          <w:sz w:val="32"/>
          <w:szCs w:val="32"/>
        </w:rPr>
        <w:t>，</w:t>
      </w:r>
      <w:r>
        <w:rPr>
          <w:rFonts w:ascii="仿宋" w:hAnsi="仿宋" w:eastAsia="仿宋"/>
          <w:sz w:val="32"/>
          <w:szCs w:val="32"/>
        </w:rPr>
        <w:t>对项目进行规范化管理，确保项目服务质量可控和过程文档完整。针对服务中发现</w:t>
      </w:r>
      <w:r>
        <w:rPr>
          <w:rFonts w:hint="eastAsia" w:ascii="仿宋" w:hAnsi="仿宋" w:eastAsia="仿宋"/>
          <w:sz w:val="32"/>
          <w:szCs w:val="32"/>
        </w:rPr>
        <w:t>的</w:t>
      </w:r>
      <w:r>
        <w:rPr>
          <w:rFonts w:ascii="仿宋" w:hAnsi="仿宋" w:eastAsia="仿宋"/>
          <w:sz w:val="32"/>
          <w:szCs w:val="32"/>
        </w:rPr>
        <w:t>安全问题，成交人需通过专业的技术手段进行合理分析，正确评估风险，协助采购人完成整改工作。</w:t>
      </w:r>
    </w:p>
    <w:p w14:paraId="23ED17B0">
      <w:pPr>
        <w:adjustRightInd w:val="0"/>
        <w:snapToGrid w:val="0"/>
        <w:spacing w:line="600" w:lineRule="exact"/>
        <w:ind w:firstLine="640" w:firstLineChars="200"/>
        <w:rPr>
          <w:rFonts w:ascii="仿宋" w:hAnsi="仿宋" w:eastAsia="仿宋" w:cs="方正楷体_GBK"/>
          <w:kern w:val="2"/>
          <w:sz w:val="32"/>
          <w:szCs w:val="32"/>
        </w:rPr>
      </w:pPr>
      <w:r>
        <w:rPr>
          <w:rFonts w:hint="eastAsia" w:ascii="仿宋" w:hAnsi="仿宋" w:eastAsia="仿宋" w:cs="方正楷体_GBK"/>
          <w:kern w:val="2"/>
          <w:sz w:val="32"/>
          <w:szCs w:val="32"/>
        </w:rPr>
        <w:t>（二）技术参数</w:t>
      </w:r>
    </w:p>
    <w:p w14:paraId="132B2AB0">
      <w:pPr>
        <w:pStyle w:val="3"/>
        <w:spacing w:line="600" w:lineRule="exact"/>
        <w:ind w:left="0" w:firstLine="640"/>
        <w:rPr>
          <w:rFonts w:ascii="仿宋" w:hAnsi="仿宋" w:eastAsia="仿宋" w:cs="仿宋_GB2312"/>
          <w:kern w:val="0"/>
          <w:sz w:val="32"/>
          <w:szCs w:val="32"/>
        </w:rPr>
      </w:pPr>
      <w:r>
        <w:rPr>
          <w:rFonts w:ascii="仿宋" w:hAnsi="仿宋" w:eastAsia="仿宋"/>
          <w:sz w:val="32"/>
          <w:szCs w:val="32"/>
        </w:rPr>
        <w:t>测评范围主要包括：安全物理环境、安全通信网络、安全区域边界、安全计算环境、安全管理中心、安全管理制度、安全管理机构、安全管理人员、安全建设管理、安全运维管理等方面。</w:t>
      </w:r>
    </w:p>
    <w:p w14:paraId="2C6B742F">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1.技术测评</w:t>
      </w:r>
    </w:p>
    <w:p w14:paraId="66769CB4">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（1）安全物理环境测评（物理位置的选择、物理访问控制、防盗窃和防破坏、防雷击、防火、防水和防潮、防静电、温湿度控制、电力供应、电磁防护）；</w:t>
      </w:r>
    </w:p>
    <w:p w14:paraId="3E2A801B">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（2）安全通信网络测评（网络架构、通信传输、可信验证）；</w:t>
      </w:r>
    </w:p>
    <w:p w14:paraId="4D63EEF4">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（3）安全区域边界测评（边界防护、访问控制、入侵防范、恶意代码和垃圾邮件防范、安全审计、可信验证）；</w:t>
      </w:r>
    </w:p>
    <w:p w14:paraId="14D69614">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（4）安全计算环境测评（身份鉴别、访问控制、安全审计、入侵防范、恶意代码防范、可信验证、数据完整性、数据保密性、数据备份恢复、剩余信息保护、个人信息保护）；</w:t>
      </w:r>
    </w:p>
    <w:p w14:paraId="0C0878D8">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（5）安全管理中心测评（系统管理、审计管理、安全管理、集中管控）。</w:t>
      </w:r>
    </w:p>
    <w:p w14:paraId="4F31AC8F">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2.管理测评</w:t>
      </w:r>
    </w:p>
    <w:p w14:paraId="75257A3F">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（1）安全管理制度测评（安全策略、管理制度、制定和发布、评审和修订）；</w:t>
      </w:r>
    </w:p>
    <w:p w14:paraId="1518A803">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（2）安全管理机构测评（岗位设置、人员配备、授权和审批、沟通和合作、审核和检查）；</w:t>
      </w:r>
    </w:p>
    <w:p w14:paraId="7C4DBAB5">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（3）安全管理人员测评（人员录用、人员离岗、安全意识教育和培训、外部人员访问管理）；</w:t>
      </w:r>
    </w:p>
    <w:p w14:paraId="4C74F172">
      <w:pPr>
        <w:pStyle w:val="8"/>
        <w:adjustRightInd/>
        <w:spacing w:line="600" w:lineRule="exact"/>
        <w:ind w:firstLine="640" w:firstLineChars="200"/>
        <w:jc w:val="both"/>
        <w:rPr>
          <w:rFonts w:ascii="仿宋" w:hAnsi="仿宋" w:eastAsia="仿宋"/>
          <w:color w:val="auto"/>
          <w:kern w:val="2"/>
          <w:sz w:val="32"/>
          <w:szCs w:val="32"/>
        </w:rPr>
      </w:pPr>
      <w:r>
        <w:rPr>
          <w:rFonts w:ascii="仿宋" w:hAnsi="仿宋" w:eastAsia="仿宋"/>
          <w:color w:val="auto"/>
          <w:kern w:val="2"/>
          <w:sz w:val="32"/>
          <w:szCs w:val="32"/>
        </w:rPr>
        <w:t>（4）安全建设管理测评（定级和备案、安全方案设计、产品采购和使用、自行软件开发、外包软件开发、工程实施、测试验收、系统支付、等级测评、服务供应商选择）；</w:t>
      </w:r>
    </w:p>
    <w:p w14:paraId="06CF8F84">
      <w:pPr>
        <w:pStyle w:val="3"/>
        <w:spacing w:line="600" w:lineRule="exact"/>
        <w:ind w:left="0" w:firstLine="640"/>
        <w:rPr>
          <w:rFonts w:ascii="仿宋" w:hAnsi="仿宋" w:eastAsia="仿宋"/>
          <w:sz w:val="32"/>
          <w:szCs w:val="32"/>
        </w:rPr>
      </w:pPr>
      <w:r>
        <w:rPr>
          <w:rFonts w:ascii="仿宋" w:hAnsi="仿宋" w:eastAsia="仿宋"/>
          <w:sz w:val="32"/>
          <w:szCs w:val="32"/>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14:paraId="7DE56D5A">
      <w:pPr>
        <w:spacing w:line="600" w:lineRule="exact"/>
        <w:ind w:firstLine="640" w:firstLineChars="200"/>
        <w:rPr>
          <w:rStyle w:val="9"/>
          <w:rFonts w:ascii="方正黑体_GBK" w:hAnsi="方正黑体_GBK" w:eastAsia="方正黑体_GBK" w:cs="方正黑体_GBK"/>
          <w:color w:val="auto"/>
          <w:kern w:val="2"/>
          <w:sz w:val="32"/>
          <w:szCs w:val="32"/>
          <w:lang w:bidi="ar"/>
          <w14:ligatures w14:val="standardContextual"/>
        </w:rPr>
      </w:pPr>
      <w:r>
        <w:rPr>
          <w:rStyle w:val="9"/>
          <w:rFonts w:hint="eastAsia" w:ascii="方正黑体_GBK" w:hAnsi="方正黑体_GBK" w:eastAsia="方正黑体_GBK" w:cs="方正黑体_GBK"/>
          <w:color w:val="auto"/>
          <w:kern w:val="2"/>
          <w:sz w:val="32"/>
          <w:szCs w:val="32"/>
          <w:lang w:bidi="ar"/>
          <w14:ligatures w14:val="standardContextual"/>
        </w:rPr>
        <w:t>二、商务需求</w:t>
      </w:r>
    </w:p>
    <w:p w14:paraId="253AC353">
      <w:pPr>
        <w:adjustRightInd w:val="0"/>
        <w:snapToGrid w:val="0"/>
        <w:spacing w:line="6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（一）实施要求</w:t>
      </w:r>
    </w:p>
    <w:p w14:paraId="698C3811">
      <w:pPr>
        <w:pStyle w:val="3"/>
        <w:spacing w:line="600" w:lineRule="exact"/>
        <w:ind w:left="0" w:firstLine="640"/>
        <w:rPr>
          <w:rFonts w:ascii="仿宋" w:hAnsi="仿宋" w:eastAsia="仿宋"/>
          <w:sz w:val="32"/>
          <w:szCs w:val="32"/>
        </w:rPr>
      </w:pPr>
      <w:r>
        <w:rPr>
          <w:rFonts w:hint="eastAsia" w:ascii="仿宋" w:hAnsi="仿宋" w:eastAsia="仿宋"/>
          <w:sz w:val="32"/>
          <w:szCs w:val="32"/>
        </w:rPr>
        <w:t>1.实施时间：成交人应在采购合同生效后，3个日历日内到采购人指定地点开展等级保护测评工作。</w:t>
      </w:r>
    </w:p>
    <w:p w14:paraId="5109104F">
      <w:pPr>
        <w:pStyle w:val="3"/>
        <w:spacing w:line="600" w:lineRule="exact"/>
        <w:ind w:left="0" w:firstLine="640"/>
        <w:rPr>
          <w:rFonts w:ascii="仿宋" w:hAnsi="仿宋" w:eastAsia="仿宋"/>
          <w:sz w:val="32"/>
          <w:szCs w:val="32"/>
        </w:rPr>
      </w:pPr>
      <w:r>
        <w:rPr>
          <w:rFonts w:hint="eastAsia" w:ascii="仿宋" w:hAnsi="仿宋" w:eastAsia="仿宋"/>
          <w:sz w:val="32"/>
          <w:szCs w:val="32"/>
        </w:rPr>
        <w:t>2.实施地点：重庆市高新区（采购人指定地点）。</w:t>
      </w:r>
    </w:p>
    <w:p w14:paraId="42654875">
      <w:pPr>
        <w:pStyle w:val="3"/>
        <w:spacing w:line="600" w:lineRule="exact"/>
        <w:ind w:left="0" w:firstLine="640"/>
        <w:rPr>
          <w:rFonts w:ascii="仿宋" w:hAnsi="仿宋" w:eastAsia="仿宋"/>
          <w:sz w:val="32"/>
          <w:szCs w:val="32"/>
        </w:rPr>
      </w:pPr>
      <w:r>
        <w:rPr>
          <w:rFonts w:hint="eastAsia" w:ascii="仿宋" w:hAnsi="仿宋" w:eastAsia="仿宋"/>
          <w:sz w:val="32"/>
          <w:szCs w:val="32"/>
        </w:rPr>
        <w:t>3.实施方式：成交人按照合同约定和采购人要求开展等级保护测评工作。</w:t>
      </w:r>
    </w:p>
    <w:p w14:paraId="07F40824">
      <w:pPr>
        <w:adjustRightInd w:val="0"/>
        <w:snapToGrid w:val="0"/>
        <w:spacing w:line="600" w:lineRule="exact"/>
        <w:ind w:firstLine="640" w:firstLineChars="200"/>
        <w:rPr>
          <w:rFonts w:ascii="仿宋" w:hAnsi="仿宋" w:eastAsia="仿宋" w:cs="方正楷体_GBK"/>
          <w:kern w:val="2"/>
          <w:sz w:val="32"/>
          <w:szCs w:val="32"/>
        </w:rPr>
      </w:pPr>
      <w:r>
        <w:rPr>
          <w:rFonts w:hint="eastAsia" w:ascii="仿宋" w:hAnsi="仿宋" w:eastAsia="仿宋" w:cs="方正楷体_GBK"/>
          <w:kern w:val="2"/>
          <w:sz w:val="32"/>
          <w:szCs w:val="32"/>
        </w:rPr>
        <w:t>（二）售后服务</w:t>
      </w:r>
    </w:p>
    <w:p w14:paraId="408553C5">
      <w:pPr>
        <w:pStyle w:val="3"/>
        <w:spacing w:line="600" w:lineRule="exact"/>
        <w:ind w:left="0" w:firstLine="640"/>
        <w:rPr>
          <w:rFonts w:ascii="仿宋" w:hAnsi="仿宋" w:eastAsia="仿宋" w:cs="仿宋_GB2312"/>
          <w:kern w:val="0"/>
          <w:sz w:val="32"/>
          <w:szCs w:val="32"/>
        </w:rPr>
      </w:pPr>
      <w:r>
        <w:rPr>
          <w:rFonts w:ascii="仿宋" w:hAnsi="仿宋" w:eastAsia="仿宋" w:cs="仿宋_GB2312"/>
          <w:kern w:val="0"/>
          <w:sz w:val="32"/>
          <w:szCs w:val="32"/>
        </w:rPr>
        <w:t>在服务周期内，为采购人提供信息安全规划、方针、策略和管理制度体系咨询服务</w:t>
      </w:r>
      <w:r>
        <w:rPr>
          <w:rFonts w:hint="eastAsia" w:ascii="仿宋" w:hAnsi="仿宋" w:eastAsia="仿宋" w:cs="仿宋_GB2312"/>
          <w:kern w:val="0"/>
          <w:sz w:val="32"/>
          <w:szCs w:val="32"/>
        </w:rPr>
        <w:t>，</w:t>
      </w:r>
      <w:r>
        <w:rPr>
          <w:rFonts w:ascii="仿宋" w:hAnsi="仿宋" w:eastAsia="仿宋" w:cs="仿宋_GB2312"/>
          <w:kern w:val="0"/>
          <w:sz w:val="32"/>
          <w:szCs w:val="32"/>
        </w:rPr>
        <w:t>配合对被检测系统安全加固提供技术指导。并且在重大信息安全检查或网络安全安保工作中，向采购人提供相关技术支撑服务。</w:t>
      </w:r>
    </w:p>
    <w:p w14:paraId="20634C5F">
      <w:pPr>
        <w:adjustRightInd w:val="0"/>
        <w:snapToGrid w:val="0"/>
        <w:spacing w:line="600" w:lineRule="exact"/>
        <w:ind w:firstLine="640" w:firstLineChars="200"/>
        <w:rPr>
          <w:rFonts w:ascii="仿宋" w:hAnsi="仿宋" w:eastAsia="仿宋" w:cs="方正楷体_GBK"/>
          <w:kern w:val="2"/>
          <w:sz w:val="32"/>
          <w:szCs w:val="32"/>
        </w:rPr>
      </w:pPr>
      <w:r>
        <w:rPr>
          <w:rFonts w:hint="eastAsia" w:ascii="仿宋" w:hAnsi="仿宋" w:eastAsia="仿宋" w:cs="方正楷体_GBK"/>
          <w:kern w:val="2"/>
          <w:sz w:val="32"/>
          <w:szCs w:val="32"/>
        </w:rPr>
        <w:t>（三）付款方式</w:t>
      </w:r>
    </w:p>
    <w:p w14:paraId="677FAE49">
      <w:pPr>
        <w:pStyle w:val="3"/>
        <w:spacing w:line="600" w:lineRule="exact"/>
        <w:ind w:left="0" w:firstLine="640"/>
        <w:rPr>
          <w:rFonts w:ascii="仿宋" w:hAnsi="仿宋" w:eastAsia="仿宋" w:cs="仿宋_GB2312"/>
          <w:kern w:val="0"/>
          <w:sz w:val="32"/>
          <w:szCs w:val="32"/>
        </w:rPr>
      </w:pPr>
      <w:r>
        <w:rPr>
          <w:rFonts w:hint="eastAsia" w:ascii="仿宋" w:hAnsi="仿宋" w:eastAsia="仿宋" w:cs="仿宋_GB2312"/>
          <w:kern w:val="0"/>
          <w:sz w:val="32"/>
          <w:szCs w:val="32"/>
        </w:rPr>
        <w:t>出具测评报告后，15个工作日内支付合同金额的70%，取得定级备案证明材料后15个工作日内支付合同金额的30%，支付前供应商应开具等额服务发票。</w:t>
      </w:r>
    </w:p>
    <w:p w14:paraId="30187484">
      <w:pPr>
        <w:adjustRightInd w:val="0"/>
        <w:snapToGrid w:val="0"/>
        <w:spacing w:line="600" w:lineRule="exact"/>
        <w:ind w:firstLine="640" w:firstLineChars="200"/>
        <w:rPr>
          <w:rFonts w:ascii="仿宋" w:hAnsi="仿宋" w:eastAsia="仿宋" w:cs="方正楷体_GBK"/>
          <w:kern w:val="2"/>
          <w:sz w:val="32"/>
          <w:szCs w:val="32"/>
        </w:rPr>
      </w:pPr>
      <w:r>
        <w:rPr>
          <w:rFonts w:hint="eastAsia" w:ascii="仿宋" w:hAnsi="仿宋" w:eastAsia="仿宋" w:cs="方正楷体_GBK"/>
          <w:kern w:val="2"/>
          <w:sz w:val="32"/>
          <w:szCs w:val="32"/>
        </w:rPr>
        <w:t>（四）验收方式</w:t>
      </w:r>
    </w:p>
    <w:p w14:paraId="160E7AA7">
      <w:pPr>
        <w:pStyle w:val="3"/>
        <w:spacing w:line="600" w:lineRule="exact"/>
        <w:ind w:left="0" w:firstLine="640"/>
        <w:rPr>
          <w:rFonts w:ascii="仿宋" w:hAnsi="仿宋" w:eastAsia="仿宋" w:cs="仿宋_GB2312"/>
          <w:kern w:val="0"/>
          <w:sz w:val="32"/>
          <w:szCs w:val="32"/>
        </w:rPr>
      </w:pPr>
      <w:r>
        <w:rPr>
          <w:rFonts w:hint="eastAsia" w:ascii="仿宋" w:hAnsi="仿宋" w:eastAsia="仿宋" w:cs="仿宋_GB2312"/>
          <w:kern w:val="0"/>
          <w:sz w:val="32"/>
          <w:szCs w:val="32"/>
        </w:rPr>
        <w:t>具体组织程序、验收标准和方法，按采购人规定程序执行，成交人配合。</w:t>
      </w:r>
    </w:p>
    <w:p w14:paraId="29119C4C">
      <w:pPr>
        <w:adjustRightInd w:val="0"/>
        <w:snapToGrid w:val="0"/>
        <w:spacing w:line="600" w:lineRule="exact"/>
        <w:ind w:firstLine="640" w:firstLineChars="200"/>
        <w:rPr>
          <w:rFonts w:ascii="仿宋" w:hAnsi="仿宋" w:eastAsia="仿宋" w:cs="方正楷体_GBK"/>
          <w:kern w:val="2"/>
          <w:sz w:val="32"/>
          <w:szCs w:val="32"/>
        </w:rPr>
      </w:pPr>
      <w:r>
        <w:rPr>
          <w:rFonts w:hint="eastAsia" w:ascii="仿宋" w:hAnsi="仿宋" w:eastAsia="仿宋" w:cs="方正楷体_GBK"/>
          <w:kern w:val="2"/>
          <w:sz w:val="32"/>
          <w:szCs w:val="32"/>
        </w:rPr>
        <w:t>（五）知识产权</w:t>
      </w:r>
    </w:p>
    <w:p w14:paraId="74BA791F">
      <w:pPr>
        <w:pStyle w:val="3"/>
        <w:spacing w:line="600" w:lineRule="exact"/>
        <w:ind w:left="0" w:firstLine="640"/>
        <w:rPr>
          <w:rFonts w:ascii="仿宋" w:hAnsi="仿宋" w:eastAsia="仿宋" w:cs="仿宋_GB2312"/>
          <w:kern w:val="0"/>
          <w:sz w:val="32"/>
          <w:szCs w:val="32"/>
        </w:rPr>
      </w:pPr>
      <w:r>
        <w:rPr>
          <w:rFonts w:hint="eastAsia" w:ascii="仿宋" w:hAnsi="仿宋" w:eastAsia="仿宋" w:cs="仿宋_GB2312"/>
          <w:kern w:val="0"/>
          <w:sz w:val="32"/>
          <w:szCs w:val="32"/>
        </w:rPr>
        <w:t>采购人在中华人民共和国境内使用报价人提供的产品及服务时免受第三方提出的侵犯其专利权及知识产权的起诉。如果第三方提出侵权指控，成交人应承担由此而引起的一切法律责任和费用。</w:t>
      </w:r>
    </w:p>
    <w:p w14:paraId="599381A5">
      <w:pPr>
        <w:adjustRightInd w:val="0"/>
        <w:snapToGrid w:val="0"/>
        <w:spacing w:line="600" w:lineRule="exact"/>
        <w:ind w:firstLine="640" w:firstLineChars="200"/>
        <w:rPr>
          <w:rFonts w:ascii="仿宋" w:hAnsi="仿宋" w:eastAsia="仿宋" w:cs="方正楷体_GBK"/>
          <w:kern w:val="2"/>
          <w:sz w:val="32"/>
          <w:szCs w:val="32"/>
        </w:rPr>
      </w:pPr>
      <w:r>
        <w:rPr>
          <w:rFonts w:hint="eastAsia" w:ascii="仿宋" w:hAnsi="仿宋" w:eastAsia="仿宋" w:cs="方正楷体_GBK"/>
          <w:kern w:val="2"/>
          <w:sz w:val="32"/>
          <w:szCs w:val="32"/>
        </w:rPr>
        <w:t>（六）其他</w:t>
      </w:r>
    </w:p>
    <w:p w14:paraId="36DBB5EF">
      <w:pPr>
        <w:pStyle w:val="3"/>
        <w:spacing w:line="600" w:lineRule="exact"/>
        <w:ind w:left="0" w:firstLine="640"/>
        <w:rPr>
          <w:rFonts w:ascii="仿宋" w:hAnsi="仿宋" w:eastAsia="仿宋" w:cs="仿宋_GB2312"/>
          <w:kern w:val="0"/>
          <w:sz w:val="32"/>
          <w:szCs w:val="32"/>
        </w:rPr>
      </w:pPr>
      <w:bookmarkStart w:id="0" w:name="_Hlk536114330"/>
      <w:r>
        <w:rPr>
          <w:rFonts w:hint="eastAsia" w:ascii="仿宋" w:hAnsi="仿宋" w:eastAsia="仿宋" w:cs="仿宋_GB2312"/>
          <w:kern w:val="0"/>
          <w:sz w:val="32"/>
          <w:szCs w:val="32"/>
        </w:rPr>
        <w:t>1.依照渝网通〔2016〕11号文《重庆市网络与信息安全信息通报工作规范》要求，成交人需协助网络安全事件应急处置机制建设工作，落实本单位的网络安全应急处置通报工作。成交人需为重庆市网络与信息安全信息通报机制成员单位或重庆市网络与信息安全信息通报中心支撑单位（提供证明文件），按渝网通〔2016〕11号文开展相关通报工作。</w:t>
      </w:r>
      <w:bookmarkEnd w:id="0"/>
    </w:p>
    <w:p w14:paraId="3A17798D">
      <w:pPr>
        <w:pStyle w:val="3"/>
        <w:spacing w:line="600" w:lineRule="exact"/>
        <w:ind w:left="0" w:firstLine="640"/>
        <w:rPr>
          <w:rFonts w:ascii="仿宋" w:hAnsi="仿宋" w:eastAsia="仿宋" w:cs="仿宋_GB2312"/>
          <w:kern w:val="0"/>
          <w:sz w:val="32"/>
          <w:szCs w:val="32"/>
        </w:rPr>
      </w:pPr>
      <w:r>
        <w:rPr>
          <w:rFonts w:hint="eastAsia" w:ascii="仿宋" w:hAnsi="仿宋" w:eastAsia="仿宋" w:cs="仿宋_GB2312"/>
          <w:kern w:val="0"/>
          <w:sz w:val="32"/>
          <w:szCs w:val="32"/>
        </w:rPr>
        <w:t>2.成交人</w:t>
      </w:r>
      <w:r>
        <w:rPr>
          <w:rFonts w:ascii="仿宋" w:hAnsi="仿宋" w:eastAsia="仿宋" w:cs="仿宋_GB2312"/>
          <w:kern w:val="0"/>
          <w:sz w:val="32"/>
          <w:szCs w:val="32"/>
        </w:rPr>
        <w:t>不得存在因违规经营网络安全等级测评业务受到行业主管部门、资质颁发机构、政府部门通报批评或者暂停测评资质使用、经济处罚、暂停测评业务、责令整改、吊销测评资质等处罚。</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rmata">
    <w:altName w:val="宋体"/>
    <w:panose1 w:val="00000000000000000000"/>
    <w:charset w:val="86"/>
    <w:family w:val="auto"/>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C5"/>
    <w:rsid w:val="003B04FC"/>
    <w:rsid w:val="006566C5"/>
    <w:rsid w:val="00661078"/>
    <w:rsid w:val="00760C46"/>
    <w:rsid w:val="00791082"/>
    <w:rsid w:val="00A4146A"/>
    <w:rsid w:val="00BD1DDA"/>
    <w:rsid w:val="64F9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6"/>
    <w:semiHidden/>
    <w:unhideWhenUsed/>
    <w:uiPriority w:val="99"/>
    <w:pPr>
      <w:spacing w:after="120"/>
      <w:ind w:left="420" w:leftChars="200"/>
    </w:pPr>
  </w:style>
  <w:style w:type="paragraph" w:styleId="3">
    <w:name w:val="Body Text First Indent 2"/>
    <w:basedOn w:val="2"/>
    <w:link w:val="7"/>
    <w:unhideWhenUsed/>
    <w:qFormat/>
    <w:uiPriority w:val="99"/>
    <w:pPr>
      <w:spacing w:after="0" w:line="700" w:lineRule="exact"/>
      <w:ind w:left="960" w:leftChars="0" w:firstLine="420" w:firstLineChars="200"/>
    </w:pPr>
    <w:rPr>
      <w:rFonts w:ascii="Times New Roman" w:hAnsi="Times New Roman" w:cs="Times New Roman"/>
      <w:kern w:val="2"/>
      <w:sz w:val="44"/>
      <w:szCs w:val="20"/>
    </w:rPr>
  </w:style>
  <w:style w:type="character" w:customStyle="1" w:styleId="6">
    <w:name w:val="正文文本缩进 Char"/>
    <w:basedOn w:val="5"/>
    <w:link w:val="2"/>
    <w:semiHidden/>
    <w:uiPriority w:val="99"/>
    <w:rPr>
      <w:rFonts w:ascii="Calibri" w:hAnsi="Calibri" w:eastAsia="宋体" w:cs="Calibri"/>
      <w:kern w:val="10"/>
      <w:szCs w:val="21"/>
    </w:rPr>
  </w:style>
  <w:style w:type="character" w:customStyle="1" w:styleId="7">
    <w:name w:val="正文首行缩进 2 Char"/>
    <w:basedOn w:val="6"/>
    <w:link w:val="3"/>
    <w:uiPriority w:val="99"/>
    <w:rPr>
      <w:rFonts w:ascii="Times New Roman" w:hAnsi="Times New Roman" w:eastAsia="宋体" w:cs="Times New Roman"/>
      <w:kern w:val="10"/>
      <w:sz w:val="44"/>
      <w:szCs w:val="20"/>
    </w:rPr>
  </w:style>
  <w:style w:type="paragraph" w:customStyle="1" w:styleId="8">
    <w:name w:val="Default"/>
    <w:autoRedefine/>
    <w:qFormat/>
    <w:uiPriority w:val="0"/>
    <w:pPr>
      <w:widowControl w:val="0"/>
      <w:autoSpaceDE w:val="0"/>
      <w:autoSpaceDN w:val="0"/>
      <w:adjustRightInd w:val="0"/>
    </w:pPr>
    <w:rPr>
      <w:rFonts w:ascii="Formata" w:hAnsi="Times New Roman" w:eastAsia="Formata" w:cs="Times New Roman"/>
      <w:color w:val="000000"/>
      <w:kern w:val="0"/>
      <w:sz w:val="24"/>
      <w:szCs w:val="24"/>
      <w:lang w:val="en-US" w:eastAsia="zh-CN" w:bidi="ar-SA"/>
    </w:rPr>
  </w:style>
  <w:style w:type="character" w:customStyle="1" w:styleId="9">
    <w:name w:val="font101"/>
    <w:basedOn w:val="5"/>
    <w:qFormat/>
    <w:uiPriority w:val="0"/>
    <w:rPr>
      <w:rFonts w:ascii="宋体" w:hAnsi="宋体" w:eastAsia="宋体" w:cs="宋体"/>
      <w:color w:val="9829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1614</Words>
  <Characters>1671</Characters>
  <Lines>12</Lines>
  <Paragraphs>3</Paragraphs>
  <TotalTime>6</TotalTime>
  <ScaleCrop>false</ScaleCrop>
  <LinksUpToDate>false</LinksUpToDate>
  <CharactersWithSpaces>1677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2025-03-19T05:40:00Z</dcterms:created>
  <dc:creator>Admin</dc:creator>
  <cp:lastModifiedBy>Admin</cp:lastModifiedBy>
  <dcterms:modified xsi:type="dcterms:W3CDTF">2025-03-19T05:51:23Z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eyJoZGlkIjoiNTQyMzJlNmViZTdkNGMxNDMxY2NmNmVmYTcxOTYxOGEifQ==</vt:lpwstr>
  </property>
  <property fmtid="{D5CDD505-2E9C-101B-9397-08002B2CF9AE}" pid="3" name="KSOProductBuildVer">
    <vt:lpwstr>2052-12.1.0.20305</vt:lpwstr>
  </property>
  <property fmtid="{D5CDD505-2E9C-101B-9397-08002B2CF9AE}" pid="4" name="ICV">
    <vt:lpwstr>8F00458BD19045A683E3B0E19A61FCA4_12</vt:lpwstr>
  </property>
</Properties>
</file>