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hAnsi="Times New Roman" w:eastAsia="方正黑体_GBK"/>
          <w:spacing w:val="-9"/>
          <w:szCs w:val="32"/>
        </w:rPr>
      </w:pPr>
      <w:bookmarkStart w:id="201" w:name="_GoBack"/>
      <w:bookmarkEnd w:id="201"/>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eastAsia="方正仿宋_GBK" w:cs="Times New Roman"/>
          <w:sz w:val="44"/>
          <w:szCs w:val="44"/>
        </w:rPr>
        <w:drawing>
          <wp:anchor distT="0" distB="0" distL="114300" distR="114300" simplePos="0" relativeHeight="251659264" behindDoc="1" locked="0" layoutInCell="1" allowOverlap="1">
            <wp:simplePos x="0" y="0"/>
            <wp:positionH relativeFrom="column">
              <wp:posOffset>1281430</wp:posOffset>
            </wp:positionH>
            <wp:positionV relativeFrom="paragraph">
              <wp:posOffset>54610</wp:posOffset>
            </wp:positionV>
            <wp:extent cx="3341370" cy="814705"/>
            <wp:effectExtent l="0" t="0" r="11430" b="8255"/>
            <wp:wrapThrough wrapText="bothSides">
              <wp:wrapPolygon>
                <wp:start x="1675" y="0"/>
                <wp:lineTo x="985" y="1212"/>
                <wp:lineTo x="0" y="5253"/>
                <wp:lineTo x="0" y="15354"/>
                <wp:lineTo x="887" y="19395"/>
                <wp:lineTo x="1576" y="21011"/>
                <wp:lineTo x="1675" y="21011"/>
                <wp:lineTo x="3448" y="21011"/>
                <wp:lineTo x="21477" y="19799"/>
                <wp:lineTo x="21477" y="3232"/>
                <wp:lineTo x="21280" y="1212"/>
                <wp:lineTo x="3448" y="0"/>
                <wp:lineTo x="1675" y="0"/>
              </wp:wrapPolygon>
            </wp:wrapThrough>
            <wp:docPr id="1" name="图片 1" descr="金凤实验室logo（左图右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金凤实验室logo（左图右文）"/>
                    <pic:cNvPicPr>
                      <a:picLocks noChangeAspect="1"/>
                    </pic:cNvPicPr>
                  </pic:nvPicPr>
                  <pic:blipFill>
                    <a:blip r:embed="rId17" cstate="print"/>
                    <a:stretch>
                      <a:fillRect/>
                    </a:stretch>
                  </pic:blipFill>
                  <pic:spPr>
                    <a:xfrm>
                      <a:off x="0" y="0"/>
                      <a:ext cx="3341370" cy="814705"/>
                    </a:xfrm>
                    <a:prstGeom prst="rect">
                      <a:avLst/>
                    </a:prstGeom>
                  </pic:spPr>
                </pic:pic>
              </a:graphicData>
            </a:graphic>
          </wp:anchor>
        </w:drawing>
      </w:r>
    </w:p>
    <w:p>
      <w:pPr>
        <w:jc w:val="center"/>
        <w:rPr>
          <w:rFonts w:ascii="Times New Roman" w:hAnsi="Times New Roman" w:cs="Times New Roman"/>
        </w:rPr>
      </w:pPr>
    </w:p>
    <w:p>
      <w:pPr>
        <w:spacing w:line="760" w:lineRule="exact"/>
        <w:jc w:val="center"/>
        <w:rPr>
          <w:rFonts w:ascii="Times New Roman" w:hAnsi="Times New Roman" w:eastAsia="方正仿宋_GBK" w:cs="Times New Roman"/>
          <w:sz w:val="44"/>
          <w:szCs w:val="44"/>
        </w:rPr>
      </w:pPr>
    </w:p>
    <w:p>
      <w:pPr>
        <w:spacing w:line="760" w:lineRule="exact"/>
        <w:jc w:val="center"/>
        <w:rPr>
          <w:rFonts w:ascii="Times New Roman" w:hAnsi="Times New Roman" w:eastAsia="方正仿宋_GBK" w:cs="Times New Roman"/>
          <w:sz w:val="44"/>
          <w:szCs w:val="44"/>
        </w:rPr>
      </w:pPr>
    </w:p>
    <w:p>
      <w:pPr>
        <w:spacing w:line="760" w:lineRule="exact"/>
        <w:rPr>
          <w:rFonts w:ascii="Times New Roman" w:hAnsi="Times New Roman" w:eastAsia="方正仿宋_GBK" w:cs="Times New Roman"/>
          <w:sz w:val="44"/>
          <w:szCs w:val="44"/>
        </w:rPr>
      </w:pPr>
    </w:p>
    <w:p>
      <w:pPr>
        <w:spacing w:line="760" w:lineRule="exact"/>
        <w:jc w:val="center"/>
        <w:rPr>
          <w:rFonts w:ascii="Times New Roman" w:hAnsi="Times New Roman" w:eastAsia="宋体" w:cs="Times New Roman"/>
          <w:b/>
          <w:bCs/>
          <w:sz w:val="72"/>
          <w:szCs w:val="72"/>
        </w:rPr>
      </w:pPr>
      <w:r>
        <w:rPr>
          <w:rFonts w:ascii="Times New Roman" w:hAnsi="Times New Roman" w:cs="Times New Roman"/>
          <w:b/>
          <w:bCs/>
          <w:sz w:val="72"/>
          <w:szCs w:val="72"/>
        </w:rPr>
        <w:t>金凤实验室</w:t>
      </w:r>
    </w:p>
    <w:p>
      <w:pPr>
        <w:spacing w:line="760" w:lineRule="exact"/>
        <w:jc w:val="center"/>
        <w:outlineLvl w:val="0"/>
        <w:rPr>
          <w:rFonts w:ascii="Times New Roman" w:hAnsi="Times New Roman" w:cs="Times New Roman"/>
          <w:b/>
          <w:bCs/>
          <w:sz w:val="72"/>
          <w:szCs w:val="72"/>
        </w:rPr>
      </w:pPr>
      <w:bookmarkStart w:id="0" w:name="_Toc6280"/>
      <w:bookmarkStart w:id="1" w:name="_Toc5773"/>
      <w:r>
        <w:rPr>
          <w:rFonts w:ascii="Times New Roman" w:hAnsi="Times New Roman" w:cs="Times New Roman"/>
          <w:b/>
          <w:bCs/>
          <w:sz w:val="72"/>
          <w:szCs w:val="72"/>
        </w:rPr>
        <w:t>竞争性比选文件</w:t>
      </w:r>
      <w:bookmarkEnd w:id="0"/>
      <w:bookmarkEnd w:id="1"/>
    </w:p>
    <w:p>
      <w:pPr>
        <w:spacing w:line="760" w:lineRule="exact"/>
        <w:rPr>
          <w:rFonts w:ascii="Times New Roman" w:hAnsi="Times New Roman" w:eastAsia="方正仿宋_GBK" w:cs="Times New Roman"/>
          <w:color w:val="0000FF"/>
          <w:spacing w:val="80"/>
          <w:sz w:val="44"/>
          <w:szCs w:val="44"/>
        </w:rPr>
      </w:pPr>
    </w:p>
    <w:p>
      <w:pPr>
        <w:spacing w:line="760" w:lineRule="exact"/>
        <w:rPr>
          <w:rFonts w:ascii="Times New Roman" w:hAnsi="Times New Roman" w:eastAsia="方正仿宋_GBK" w:cs="Times New Roman"/>
          <w:color w:val="000000"/>
          <w:sz w:val="40"/>
          <w:szCs w:val="40"/>
        </w:rPr>
      </w:pPr>
    </w:p>
    <w:p>
      <w:pPr>
        <w:pStyle w:val="2"/>
        <w:rPr>
          <w:rFonts w:ascii="Times New Roman" w:hAnsi="Times New Roman"/>
        </w:rPr>
      </w:pPr>
    </w:p>
    <w:p>
      <w:pPr>
        <w:spacing w:line="760" w:lineRule="exact"/>
        <w:jc w:val="center"/>
        <w:rPr>
          <w:rFonts w:ascii="Times New Roman" w:hAnsi="Times New Roman" w:eastAsia="方正仿宋_GBK" w:cs="Times New Roman"/>
          <w:color w:val="000000"/>
          <w:sz w:val="40"/>
          <w:szCs w:val="40"/>
        </w:rPr>
      </w:pPr>
      <w:r>
        <w:rPr>
          <w:rFonts w:ascii="Times New Roman" w:hAnsi="Times New Roman" w:eastAsia="方正仿宋_GBK" w:cs="Times New Roman"/>
          <w:color w:val="000000"/>
          <w:sz w:val="40"/>
          <w:szCs w:val="40"/>
        </w:rPr>
        <w:t>项目名称：金凤实验室聘请第三方安全服务公司</w:t>
      </w:r>
    </w:p>
    <w:p>
      <w:pPr>
        <w:spacing w:line="760" w:lineRule="exact"/>
        <w:ind w:left="2386" w:leftChars="1136" w:firstLine="400" w:firstLineChars="100"/>
        <w:jc w:val="left"/>
        <w:rPr>
          <w:rFonts w:ascii="Times New Roman" w:hAnsi="Times New Roman" w:eastAsia="方正仿宋_GBK" w:cs="Times New Roman"/>
          <w:color w:val="000000"/>
          <w:sz w:val="40"/>
          <w:szCs w:val="40"/>
        </w:rPr>
      </w:pPr>
    </w:p>
    <w:p>
      <w:pPr>
        <w:pStyle w:val="10"/>
        <w:jc w:val="both"/>
        <w:rPr>
          <w:rFonts w:ascii="Times New Roman" w:hAnsi="Times New Roman" w:eastAsia="方正仿宋_GBK" w:cs="Times New Roman"/>
          <w:color w:val="000000"/>
          <w:sz w:val="44"/>
          <w:szCs w:val="44"/>
        </w:rPr>
      </w:pPr>
    </w:p>
    <w:p>
      <w:pPr>
        <w:rPr>
          <w:rFonts w:ascii="Times New Roman" w:hAnsi="Times New Roman" w:cs="Times New Roman"/>
        </w:rPr>
      </w:pPr>
    </w:p>
    <w:p>
      <w:pPr>
        <w:rPr>
          <w:rFonts w:ascii="Times New Roman" w:hAnsi="Times New Roman" w:eastAsia="方正仿宋_GBK" w:cs="Times New Roman"/>
          <w:color w:val="000000"/>
          <w:sz w:val="44"/>
          <w:szCs w:val="44"/>
        </w:rPr>
      </w:pPr>
    </w:p>
    <w:p>
      <w:pPr>
        <w:rPr>
          <w:rFonts w:ascii="Times New Roman" w:hAnsi="Times New Roman" w:cs="Times New Roman"/>
        </w:rPr>
      </w:pPr>
    </w:p>
    <w:p>
      <w:pPr>
        <w:spacing w:line="76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采购人：金凤实验室</w:t>
      </w:r>
    </w:p>
    <w:p>
      <w:pPr>
        <w:spacing w:line="48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二〇二三年</w:t>
      </w:r>
      <w:r>
        <w:rPr>
          <w:rFonts w:hint="eastAsia" w:ascii="Times New Roman" w:hAnsi="Times New Roman" w:eastAsia="方正仿宋_GBK" w:cs="Times New Roman"/>
          <w:color w:val="000000"/>
          <w:sz w:val="32"/>
          <w:szCs w:val="32"/>
          <w:lang w:val="en-US" w:eastAsia="zh-CN"/>
        </w:rPr>
        <w:t>八</w:t>
      </w:r>
      <w:r>
        <w:rPr>
          <w:rFonts w:ascii="Times New Roman" w:hAnsi="Times New Roman" w:eastAsia="方正仿宋_GBK" w:cs="Times New Roman"/>
          <w:color w:val="000000"/>
          <w:sz w:val="32"/>
          <w:szCs w:val="32"/>
        </w:rPr>
        <w:t>月</w:t>
      </w:r>
    </w:p>
    <w:p>
      <w:pPr>
        <w:spacing w:line="480" w:lineRule="exact"/>
        <w:jc w:val="center"/>
        <w:rPr>
          <w:rFonts w:ascii="Times New Roman" w:hAnsi="Times New Roman" w:eastAsia="方正黑体_GBK" w:cs="Times New Roman"/>
          <w:sz w:val="44"/>
          <w:szCs w:val="28"/>
        </w:rPr>
      </w:pPr>
    </w:p>
    <w:p>
      <w:pPr>
        <w:spacing w:afterLines="80" w:line="480" w:lineRule="exact"/>
        <w:jc w:val="center"/>
        <w:rPr>
          <w:rFonts w:ascii="Times New Roman" w:hAnsi="Times New Roman" w:eastAsia="方正黑体_GBK" w:cs="Times New Roman"/>
          <w:sz w:val="44"/>
          <w:szCs w:val="28"/>
        </w:rPr>
      </w:pPr>
    </w:p>
    <w:p>
      <w:pPr>
        <w:spacing w:afterLines="80" w:line="480" w:lineRule="exact"/>
        <w:jc w:val="center"/>
        <w:rPr>
          <w:rFonts w:ascii="Times New Roman" w:hAnsi="Times New Roman" w:eastAsia="方正黑体_GBK" w:cs="Times New Roman"/>
          <w:sz w:val="44"/>
          <w:szCs w:val="28"/>
        </w:rPr>
      </w:pPr>
    </w:p>
    <w:p>
      <w:pPr>
        <w:pStyle w:val="2"/>
        <w:rPr>
          <w:rFonts w:ascii="Times New Roman" w:hAnsi="Times New Roman" w:eastAsia="方正黑体_GBK"/>
          <w:sz w:val="44"/>
          <w:szCs w:val="28"/>
        </w:rPr>
      </w:pPr>
    </w:p>
    <w:p>
      <w:pPr>
        <w:spacing w:afterLines="80" w:line="480" w:lineRule="exact"/>
        <w:rPr>
          <w:rFonts w:ascii="Times New Roman" w:hAnsi="Times New Roman" w:eastAsia="方正黑体_GBK" w:cs="Times New Roman"/>
          <w:sz w:val="44"/>
          <w:szCs w:val="28"/>
        </w:rPr>
      </w:pPr>
    </w:p>
    <w:sdt>
      <w:sdtPr>
        <w:rPr>
          <w:rFonts w:ascii="Times New Roman" w:hAnsi="Times New Roman" w:eastAsia="宋体" w:cs="Times New Roman"/>
        </w:rPr>
        <w:id w:val="147452386"/>
        <w:docPartObj>
          <w:docPartGallery w:val="Table of Contents"/>
          <w:docPartUnique/>
        </w:docPartObj>
      </w:sdtPr>
      <w:sdtEndPr>
        <w:rPr>
          <w:rFonts w:ascii="Times New Roman" w:hAnsi="Times New Roman" w:eastAsia="方正仿宋_GBK" w:cs="Times New Roman"/>
          <w:b/>
        </w:rPr>
      </w:sdtEndPr>
      <w:sdtContent>
        <w:p>
          <w:pPr>
            <w:pStyle w:val="11"/>
            <w:tabs>
              <w:tab w:val="right" w:leader="dot" w:pos="9402"/>
            </w:tabs>
            <w:jc w:val="center"/>
            <w:rPr>
              <w:rFonts w:ascii="Times New Roman" w:hAnsi="Times New Roman" w:eastAsia="方正仿宋_GBK" w:cs="Times New Roman"/>
              <w:b/>
            </w:rPr>
          </w:pPr>
          <w:r>
            <w:rPr>
              <w:rFonts w:ascii="Times New Roman" w:hAnsi="Times New Roman" w:eastAsia="宋体" w:cs="Times New Roman"/>
              <w:b/>
              <w:bCs/>
              <w:sz w:val="36"/>
              <w:szCs w:val="40"/>
            </w:rPr>
            <w:t>目录</w:t>
          </w:r>
          <w:r>
            <w:rPr>
              <w:rFonts w:ascii="Times New Roman" w:hAnsi="Times New Roman" w:eastAsia="方正仿宋_GBK" w:cs="Times New Roman"/>
              <w:sz w:val="18"/>
            </w:rPr>
            <w:fldChar w:fldCharType="begin"/>
          </w:r>
          <w:r>
            <w:rPr>
              <w:rFonts w:ascii="Times New Roman" w:hAnsi="Times New Roman" w:eastAsia="方正仿宋_GBK" w:cs="Times New Roman"/>
              <w:sz w:val="18"/>
            </w:rPr>
            <w:instrText xml:space="preserve">TOC \o "1-2" \h \u </w:instrText>
          </w:r>
          <w:r>
            <w:rPr>
              <w:rFonts w:ascii="Times New Roman" w:hAnsi="Times New Roman" w:eastAsia="方正仿宋_GBK" w:cs="Times New Roman"/>
              <w:sz w:val="18"/>
            </w:rPr>
            <w:fldChar w:fldCharType="separate"/>
          </w:r>
        </w:p>
        <w:p>
          <w:pPr>
            <w:pStyle w:val="11"/>
            <w:tabs>
              <w:tab w:val="right" w:leader="dot" w:pos="9412"/>
            </w:tabs>
            <w:ind w:left="0" w:leftChars="0"/>
            <w:rPr>
              <w:rFonts w:ascii="Times New Roman" w:hAnsi="Times New Roman" w:cs="Times New Roman"/>
            </w:rPr>
          </w:pPr>
          <w:r>
            <w:fldChar w:fldCharType="begin"/>
          </w:r>
          <w:r>
            <w:instrText xml:space="preserve"> HYPERLINK \l "_Toc32141" </w:instrText>
          </w:r>
          <w:r>
            <w:fldChar w:fldCharType="separate"/>
          </w:r>
          <w:r>
            <w:rPr>
              <w:rFonts w:ascii="Times New Roman" w:hAnsi="Times New Roman" w:eastAsia="方正黑体_GBK" w:cs="Times New Roman"/>
              <w:sz w:val="28"/>
              <w:szCs w:val="28"/>
            </w:rPr>
            <w:t>第一篇  竞争性比选公告</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_Toc32141 \h </w:instrText>
          </w:r>
          <w:r>
            <w:rPr>
              <w:rFonts w:ascii="Times New Roman" w:hAnsi="Times New Roman" w:cs="Times New Roman"/>
            </w:rPr>
            <w:fldChar w:fldCharType="separate"/>
          </w:r>
          <w:r>
            <w:rPr>
              <w:rFonts w:ascii="Times New Roman" w:hAnsi="Times New Roman" w:cs="Times New Roman"/>
            </w:rPr>
            <w:t>- 3 -</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"_Toc6661" </w:instrText>
          </w:r>
          <w:r>
            <w:fldChar w:fldCharType="separate"/>
          </w:r>
          <w:r>
            <w:rPr>
              <w:rFonts w:ascii="Times New Roman" w:hAnsi="Times New Roman" w:cs="Times New Roman"/>
              <w:sz w:val="21"/>
              <w:szCs w:val="32"/>
            </w:rPr>
            <w:t>一、竞争性比选项目</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_Toc6661 \h </w:instrText>
          </w:r>
          <w:r>
            <w:rPr>
              <w:rFonts w:ascii="Times New Roman" w:hAnsi="Times New Roman" w:cs="Times New Roman"/>
              <w:sz w:val="21"/>
              <w:szCs w:val="32"/>
            </w:rPr>
            <w:fldChar w:fldCharType="separate"/>
          </w:r>
          <w:r>
            <w:rPr>
              <w:rFonts w:ascii="Times New Roman" w:hAnsi="Times New Roman" w:cs="Times New Roman"/>
              <w:sz w:val="21"/>
              <w:szCs w:val="32"/>
            </w:rPr>
            <w:t>- 3 -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"_Toc26610" </w:instrText>
          </w:r>
          <w:r>
            <w:fldChar w:fldCharType="separate"/>
          </w:r>
          <w:r>
            <w:rPr>
              <w:rFonts w:ascii="Times New Roman" w:hAnsi="Times New Roman" w:cs="Times New Roman"/>
              <w:sz w:val="21"/>
              <w:szCs w:val="32"/>
            </w:rPr>
            <w:t>二、资金来源</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_Toc26610 \h </w:instrText>
          </w:r>
          <w:r>
            <w:rPr>
              <w:rFonts w:ascii="Times New Roman" w:hAnsi="Times New Roman" w:cs="Times New Roman"/>
              <w:sz w:val="21"/>
              <w:szCs w:val="32"/>
            </w:rPr>
            <w:fldChar w:fldCharType="separate"/>
          </w:r>
          <w:r>
            <w:rPr>
              <w:rFonts w:ascii="Times New Roman" w:hAnsi="Times New Roman" w:cs="Times New Roman"/>
              <w:sz w:val="21"/>
              <w:szCs w:val="32"/>
            </w:rPr>
            <w:t>- 3 -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"_Toc16987" </w:instrText>
          </w:r>
          <w:r>
            <w:fldChar w:fldCharType="separate"/>
          </w:r>
          <w:r>
            <w:rPr>
              <w:rFonts w:ascii="Times New Roman" w:hAnsi="Times New Roman" w:cs="Times New Roman"/>
              <w:sz w:val="21"/>
              <w:szCs w:val="32"/>
            </w:rPr>
            <w:t>三、比选资格</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_Toc16987 \h </w:instrText>
          </w:r>
          <w:r>
            <w:rPr>
              <w:rFonts w:ascii="Times New Roman" w:hAnsi="Times New Roman" w:cs="Times New Roman"/>
              <w:sz w:val="21"/>
              <w:szCs w:val="32"/>
            </w:rPr>
            <w:fldChar w:fldCharType="separate"/>
          </w:r>
          <w:r>
            <w:rPr>
              <w:rFonts w:ascii="Times New Roman" w:hAnsi="Times New Roman" w:cs="Times New Roman"/>
              <w:sz w:val="21"/>
              <w:szCs w:val="32"/>
            </w:rPr>
            <w:t>- 3 -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rPr>
          </w:pPr>
          <w:r>
            <w:fldChar w:fldCharType="begin"/>
          </w:r>
          <w:r>
            <w:instrText xml:space="preserve"> HYPERLINK \l "_Toc7173" </w:instrText>
          </w:r>
          <w:r>
            <w:fldChar w:fldCharType="separate"/>
          </w:r>
          <w:r>
            <w:rPr>
              <w:rFonts w:ascii="Times New Roman" w:hAnsi="Times New Roman" w:cs="Times New Roman"/>
              <w:sz w:val="21"/>
              <w:szCs w:val="32"/>
            </w:rPr>
            <w:t>四、比选有关说明</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_Toc7173 \h </w:instrText>
          </w:r>
          <w:r>
            <w:rPr>
              <w:rFonts w:ascii="Times New Roman" w:hAnsi="Times New Roman" w:cs="Times New Roman"/>
              <w:sz w:val="21"/>
              <w:szCs w:val="32"/>
            </w:rPr>
            <w:fldChar w:fldCharType="separate"/>
          </w:r>
          <w:r>
            <w:rPr>
              <w:rFonts w:ascii="Times New Roman" w:hAnsi="Times New Roman" w:cs="Times New Roman"/>
              <w:sz w:val="21"/>
              <w:szCs w:val="32"/>
            </w:rPr>
            <w:t>- 3 -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"_Toc7648" </w:instrText>
          </w:r>
          <w:r>
            <w:fldChar w:fldCharType="separate"/>
          </w:r>
          <w:r>
            <w:rPr>
              <w:rFonts w:ascii="Times New Roman" w:hAnsi="Times New Roman" w:cs="Times New Roman"/>
              <w:sz w:val="21"/>
              <w:szCs w:val="32"/>
            </w:rPr>
            <w:t>五、其它有关规定</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_Toc7648 \h </w:instrText>
          </w:r>
          <w:r>
            <w:rPr>
              <w:rFonts w:ascii="Times New Roman" w:hAnsi="Times New Roman" w:cs="Times New Roman"/>
              <w:sz w:val="21"/>
              <w:szCs w:val="32"/>
            </w:rPr>
            <w:fldChar w:fldCharType="separate"/>
          </w:r>
          <w:r>
            <w:rPr>
              <w:rFonts w:ascii="Times New Roman" w:hAnsi="Times New Roman" w:cs="Times New Roman"/>
              <w:sz w:val="21"/>
              <w:szCs w:val="32"/>
            </w:rPr>
            <w:t>- 4 -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"_Toc10206" </w:instrText>
          </w:r>
          <w:r>
            <w:fldChar w:fldCharType="separate"/>
          </w:r>
          <w:r>
            <w:rPr>
              <w:rFonts w:ascii="Times New Roman" w:hAnsi="Times New Roman" w:cs="Times New Roman"/>
              <w:sz w:val="21"/>
              <w:szCs w:val="32"/>
            </w:rPr>
            <w:t>六、联系方式</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_Toc10206 \h </w:instrText>
          </w:r>
          <w:r>
            <w:rPr>
              <w:rFonts w:ascii="Times New Roman" w:hAnsi="Times New Roman" w:cs="Times New Roman"/>
              <w:sz w:val="21"/>
              <w:szCs w:val="32"/>
            </w:rPr>
            <w:fldChar w:fldCharType="separate"/>
          </w:r>
          <w:r>
            <w:rPr>
              <w:rFonts w:ascii="Times New Roman" w:hAnsi="Times New Roman" w:cs="Times New Roman"/>
              <w:sz w:val="21"/>
              <w:szCs w:val="32"/>
            </w:rPr>
            <w:t>- 4 -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rPr>
          </w:pPr>
          <w:r>
            <w:fldChar w:fldCharType="begin"/>
          </w:r>
          <w:r>
            <w:instrText xml:space="preserve"> HYPERLINK \l "_Toc23510" </w:instrText>
          </w:r>
          <w:r>
            <w:fldChar w:fldCharType="separate"/>
          </w:r>
          <w:r>
            <w:rPr>
              <w:rFonts w:ascii="Times New Roman" w:hAnsi="Times New Roman" w:cs="Times New Roman"/>
              <w:sz w:val="21"/>
              <w:szCs w:val="32"/>
            </w:rPr>
            <w:t>七、现场踏勘</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_Toc23510 \h </w:instrText>
          </w:r>
          <w:r>
            <w:rPr>
              <w:rFonts w:ascii="Times New Roman" w:hAnsi="Times New Roman" w:cs="Times New Roman"/>
              <w:sz w:val="21"/>
              <w:szCs w:val="32"/>
            </w:rPr>
            <w:fldChar w:fldCharType="separate"/>
          </w:r>
          <w:r>
            <w:rPr>
              <w:rFonts w:ascii="Times New Roman" w:hAnsi="Times New Roman" w:cs="Times New Roman"/>
              <w:sz w:val="21"/>
              <w:szCs w:val="32"/>
            </w:rPr>
            <w:t>- 4 -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1"/>
            <w:tabs>
              <w:tab w:val="right" w:leader="dot" w:pos="9412"/>
            </w:tabs>
            <w:ind w:left="0" w:leftChars="0"/>
            <w:rPr>
              <w:rFonts w:ascii="Times New Roman" w:hAnsi="Times New Roman" w:eastAsia="方正黑体_GBK" w:cs="Times New Roman"/>
              <w:sz w:val="28"/>
              <w:szCs w:val="28"/>
            </w:rPr>
          </w:pPr>
          <w:r>
            <w:fldChar w:fldCharType="begin"/>
          </w:r>
          <w:r>
            <w:instrText xml:space="preserve"> HYPERLINK \l "_Toc20681" </w:instrText>
          </w:r>
          <w:r>
            <w:fldChar w:fldCharType="separate"/>
          </w:r>
          <w:r>
            <w:rPr>
              <w:rFonts w:ascii="Times New Roman" w:hAnsi="Times New Roman" w:eastAsia="方正黑体_GBK" w:cs="Times New Roman"/>
              <w:sz w:val="28"/>
              <w:szCs w:val="28"/>
            </w:rPr>
            <w:t>第二篇 比选项目服务需求</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_Toc20681 \h </w:instrText>
          </w:r>
          <w:r>
            <w:rPr>
              <w:rFonts w:ascii="Times New Roman" w:hAnsi="Times New Roman" w:cs="Times New Roman"/>
              <w:szCs w:val="32"/>
            </w:rPr>
            <w:fldChar w:fldCharType="separate"/>
          </w:r>
          <w:r>
            <w:rPr>
              <w:rFonts w:ascii="Times New Roman" w:hAnsi="Times New Roman" w:cs="Times New Roman"/>
              <w:szCs w:val="32"/>
            </w:rPr>
            <w:t>- 5 -</w:t>
          </w:r>
          <w:r>
            <w:rPr>
              <w:rFonts w:ascii="Times New Roman" w:hAnsi="Times New Roman" w:cs="Times New Roman"/>
              <w:szCs w:val="32"/>
            </w:rPr>
            <w:fldChar w:fldCharType="end"/>
          </w:r>
          <w:r>
            <w:rPr>
              <w:rFonts w:ascii="Times New Roman" w:hAnsi="Times New Roman" w:cs="Times New Roman"/>
              <w:szCs w:val="32"/>
            </w:rPr>
            <w:fldChar w:fldCharType="end"/>
          </w:r>
        </w:p>
        <w:p>
          <w:pPr>
            <w:ind w:firstLine="630" w:firstLineChars="300"/>
            <w:rPr>
              <w:rFonts w:ascii="Times New Roman" w:hAnsi="Times New Roman" w:cs="Times New Roman"/>
              <w:szCs w:val="32"/>
            </w:rPr>
          </w:pPr>
          <w:r>
            <w:rPr>
              <w:rFonts w:ascii="Times New Roman" w:hAnsi="Times New Roman" w:cs="Times New Roman"/>
              <w:szCs w:val="32"/>
            </w:rPr>
            <w:t>一、项目概况..........................................................................................................................................</w:t>
          </w:r>
          <w:r>
            <w:rPr>
              <w:rFonts w:ascii="Times New Roman" w:hAnsi="Times New Roman" w:cs="Times New Roman"/>
              <w:szCs w:val="32"/>
            </w:rPr>
            <w:fldChar w:fldCharType="begin"/>
          </w:r>
          <w:r>
            <w:rPr>
              <w:rFonts w:ascii="Times New Roman" w:hAnsi="Times New Roman" w:cs="Times New Roman"/>
              <w:szCs w:val="32"/>
            </w:rPr>
            <w:instrText xml:space="preserve"> PAGEREF _Toc23510 \h </w:instrText>
          </w:r>
          <w:r>
            <w:rPr>
              <w:rFonts w:ascii="Times New Roman" w:hAnsi="Times New Roman" w:cs="Times New Roman"/>
              <w:szCs w:val="32"/>
            </w:rPr>
            <w:fldChar w:fldCharType="separate"/>
          </w:r>
          <w:r>
            <w:rPr>
              <w:rFonts w:ascii="Times New Roman" w:hAnsi="Times New Roman" w:cs="Times New Roman"/>
              <w:szCs w:val="32"/>
            </w:rPr>
            <w:t>- 5 -</w:t>
          </w:r>
          <w:r>
            <w:rPr>
              <w:rFonts w:ascii="Times New Roman" w:hAnsi="Times New Roman" w:cs="Times New Roman"/>
              <w:szCs w:val="32"/>
            </w:rPr>
            <w:fldChar w:fldCharType="end"/>
          </w:r>
        </w:p>
        <w:p>
          <w:pPr>
            <w:pStyle w:val="2"/>
            <w:ind w:firstLine="630" w:firstLineChars="300"/>
            <w:rPr>
              <w:rFonts w:ascii="Times New Roman" w:hAnsi="Times New Roman" w:eastAsiaTheme="minorEastAsia"/>
              <w:sz w:val="21"/>
              <w:szCs w:val="32"/>
            </w:rPr>
          </w:pPr>
          <w:r>
            <w:rPr>
              <w:rFonts w:ascii="Times New Roman" w:hAnsi="Times New Roman" w:eastAsiaTheme="minorEastAsia"/>
              <w:sz w:val="21"/>
              <w:szCs w:val="32"/>
            </w:rPr>
            <w:t>二、项目技术服务数量及频次..............................................................................................................</w:t>
          </w:r>
          <w:r>
            <w:rPr>
              <w:rFonts w:ascii="Times New Roman" w:hAnsi="Times New Roman" w:eastAsiaTheme="minorEastAsia"/>
              <w:sz w:val="21"/>
              <w:szCs w:val="32"/>
            </w:rPr>
            <w:fldChar w:fldCharType="begin"/>
          </w:r>
          <w:r>
            <w:rPr>
              <w:rFonts w:ascii="Times New Roman" w:hAnsi="Times New Roman" w:eastAsiaTheme="minorEastAsia"/>
              <w:sz w:val="21"/>
              <w:szCs w:val="32"/>
            </w:rPr>
            <w:instrText xml:space="preserve"> PAGEREF _Toc23510 \h </w:instrText>
          </w:r>
          <w:r>
            <w:rPr>
              <w:rFonts w:ascii="Times New Roman" w:hAnsi="Times New Roman" w:eastAsiaTheme="minorEastAsia"/>
              <w:sz w:val="21"/>
              <w:szCs w:val="32"/>
            </w:rPr>
            <w:fldChar w:fldCharType="separate"/>
          </w:r>
          <w:r>
            <w:rPr>
              <w:rFonts w:ascii="Times New Roman" w:hAnsi="Times New Roman" w:eastAsiaTheme="minorEastAsia"/>
              <w:sz w:val="21"/>
              <w:szCs w:val="32"/>
            </w:rPr>
            <w:t>- 5 -</w:t>
          </w:r>
          <w:r>
            <w:rPr>
              <w:rFonts w:ascii="Times New Roman" w:hAnsi="Times New Roman" w:eastAsiaTheme="minorEastAsia"/>
              <w:sz w:val="21"/>
              <w:szCs w:val="32"/>
            </w:rPr>
            <w:fldChar w:fldCharType="end"/>
          </w:r>
        </w:p>
        <w:p>
          <w:pPr>
            <w:pStyle w:val="11"/>
            <w:tabs>
              <w:tab w:val="right" w:leader="dot" w:pos="9412"/>
            </w:tabs>
            <w:ind w:left="0" w:leftChars="0"/>
            <w:rPr>
              <w:rFonts w:ascii="Times New Roman" w:hAnsi="Times New Roman" w:cs="Times New Roman"/>
            </w:rPr>
          </w:pPr>
          <w:r>
            <w:fldChar w:fldCharType="begin"/>
          </w:r>
          <w:r>
            <w:instrText xml:space="preserve"> HYPERLINK \l "_Toc27472" </w:instrText>
          </w:r>
          <w:r>
            <w:fldChar w:fldCharType="separate"/>
          </w:r>
          <w:r>
            <w:rPr>
              <w:rFonts w:ascii="Times New Roman" w:hAnsi="Times New Roman" w:eastAsia="方正黑体_GBK" w:cs="Times New Roman"/>
              <w:sz w:val="28"/>
              <w:szCs w:val="28"/>
            </w:rPr>
            <w:t>第三篇 比选项目商务需求</w:t>
          </w:r>
          <w:r>
            <w:rPr>
              <w:rFonts w:ascii="Times New Roman" w:hAnsi="Times New Roman" w:cs="Times New Roman"/>
              <w:szCs w:val="32"/>
            </w:rPr>
            <w:tab/>
          </w:r>
          <w:r>
            <w:rPr>
              <w:rFonts w:ascii="Times New Roman" w:hAnsi="Times New Roman" w:cs="Times New Roman"/>
              <w:szCs w:val="32"/>
            </w:rPr>
            <w:fldChar w:fldCharType="begin"/>
          </w:r>
          <w:r>
            <w:rPr>
              <w:rFonts w:ascii="Times New Roman" w:hAnsi="Times New Roman" w:cs="Times New Roman"/>
              <w:szCs w:val="32"/>
            </w:rPr>
            <w:instrText xml:space="preserve"> PAGEREF _Toc27472 \h </w:instrText>
          </w:r>
          <w:r>
            <w:rPr>
              <w:rFonts w:ascii="Times New Roman" w:hAnsi="Times New Roman" w:cs="Times New Roman"/>
              <w:szCs w:val="32"/>
            </w:rPr>
            <w:fldChar w:fldCharType="separate"/>
          </w:r>
          <w:r>
            <w:rPr>
              <w:rFonts w:ascii="Times New Roman" w:hAnsi="Times New Roman" w:cs="Times New Roman"/>
              <w:szCs w:val="32"/>
            </w:rPr>
            <w:t>- 6 -</w:t>
          </w:r>
          <w:r>
            <w:rPr>
              <w:rFonts w:ascii="Times New Roman" w:hAnsi="Times New Roman" w:cs="Times New Roman"/>
              <w:szCs w:val="32"/>
            </w:rPr>
            <w:fldChar w:fldCharType="end"/>
          </w:r>
          <w:r>
            <w:rPr>
              <w:rFonts w:ascii="Times New Roman" w:hAnsi="Times New Roman" w:cs="Times New Roman"/>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"_Toc27591" </w:instrText>
          </w:r>
          <w:r>
            <w:fldChar w:fldCharType="separate"/>
          </w:r>
          <w:r>
            <w:rPr>
              <w:rFonts w:ascii="Times New Roman" w:hAnsi="Times New Roman" w:cs="Times New Roman"/>
              <w:sz w:val="21"/>
              <w:szCs w:val="32"/>
            </w:rPr>
            <w:t>一、服务时间、地点及验收方式</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_Toc27591 \h </w:instrText>
          </w:r>
          <w:r>
            <w:rPr>
              <w:rFonts w:ascii="Times New Roman" w:hAnsi="Times New Roman" w:cs="Times New Roman"/>
              <w:sz w:val="21"/>
              <w:szCs w:val="32"/>
            </w:rPr>
            <w:fldChar w:fldCharType="separate"/>
          </w:r>
          <w:r>
            <w:rPr>
              <w:rFonts w:ascii="Times New Roman" w:hAnsi="Times New Roman" w:cs="Times New Roman"/>
              <w:sz w:val="21"/>
              <w:szCs w:val="32"/>
            </w:rPr>
            <w:t>- 6 -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"_Toc1453" </w:instrText>
          </w:r>
          <w:r>
            <w:fldChar w:fldCharType="separate"/>
          </w:r>
          <w:r>
            <w:rPr>
              <w:rFonts w:ascii="Times New Roman" w:hAnsi="Times New Roman" w:cs="Times New Roman"/>
              <w:sz w:val="21"/>
              <w:szCs w:val="32"/>
            </w:rPr>
            <w:t>二、报价要求</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_Toc1453 \h </w:instrText>
          </w:r>
          <w:r>
            <w:rPr>
              <w:rFonts w:ascii="Times New Roman" w:hAnsi="Times New Roman" w:cs="Times New Roman"/>
              <w:sz w:val="21"/>
              <w:szCs w:val="32"/>
            </w:rPr>
            <w:fldChar w:fldCharType="separate"/>
          </w:r>
          <w:r>
            <w:rPr>
              <w:rFonts w:ascii="Times New Roman" w:hAnsi="Times New Roman" w:cs="Times New Roman"/>
              <w:sz w:val="21"/>
              <w:szCs w:val="32"/>
            </w:rPr>
            <w:t>- 6 -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"_Toc968" </w:instrText>
          </w:r>
          <w:r>
            <w:fldChar w:fldCharType="separate"/>
          </w:r>
          <w:r>
            <w:rPr>
              <w:rFonts w:ascii="Times New Roman" w:hAnsi="Times New Roman" w:cs="Times New Roman"/>
              <w:sz w:val="21"/>
              <w:szCs w:val="32"/>
            </w:rPr>
            <w:t>三、付款方式</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_Toc968 \h </w:instrText>
          </w:r>
          <w:r>
            <w:rPr>
              <w:rFonts w:ascii="Times New Roman" w:hAnsi="Times New Roman" w:cs="Times New Roman"/>
              <w:sz w:val="21"/>
              <w:szCs w:val="32"/>
            </w:rPr>
            <w:fldChar w:fldCharType="separate"/>
          </w:r>
          <w:r>
            <w:rPr>
              <w:rFonts w:ascii="Times New Roman" w:hAnsi="Times New Roman" w:cs="Times New Roman"/>
              <w:sz w:val="21"/>
              <w:szCs w:val="32"/>
            </w:rPr>
            <w:t>- 6 -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"_Toc3330" </w:instrText>
          </w:r>
          <w:r>
            <w:fldChar w:fldCharType="separate"/>
          </w:r>
          <w:r>
            <w:rPr>
              <w:rFonts w:ascii="Times New Roman" w:hAnsi="Times New Roman" w:cs="Times New Roman"/>
              <w:sz w:val="21"/>
              <w:szCs w:val="32"/>
            </w:rPr>
            <w:t>四、知识产权</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_Toc3330 \h </w:instrText>
          </w:r>
          <w:r>
            <w:rPr>
              <w:rFonts w:ascii="Times New Roman" w:hAnsi="Times New Roman" w:cs="Times New Roman"/>
              <w:sz w:val="21"/>
              <w:szCs w:val="32"/>
            </w:rPr>
            <w:fldChar w:fldCharType="separate"/>
          </w:r>
          <w:r>
            <w:rPr>
              <w:rFonts w:ascii="Times New Roman" w:hAnsi="Times New Roman" w:cs="Times New Roman"/>
              <w:sz w:val="21"/>
              <w:szCs w:val="32"/>
            </w:rPr>
            <w:t>- 6 -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rPr>
          </w:pPr>
          <w:r>
            <w:fldChar w:fldCharType="begin"/>
          </w:r>
          <w:r>
            <w:instrText xml:space="preserve"> HYPERLINK \l "_Toc29160" </w:instrText>
          </w:r>
          <w:r>
            <w:fldChar w:fldCharType="separate"/>
          </w:r>
          <w:r>
            <w:rPr>
              <w:rFonts w:ascii="Times New Roman" w:hAnsi="Times New Roman" w:cs="Times New Roman"/>
              <w:sz w:val="21"/>
              <w:szCs w:val="32"/>
            </w:rPr>
            <w:t>五、其他</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_Toc29160 \h </w:instrText>
          </w:r>
          <w:r>
            <w:rPr>
              <w:rFonts w:ascii="Times New Roman" w:hAnsi="Times New Roman" w:cs="Times New Roman"/>
              <w:sz w:val="21"/>
              <w:szCs w:val="32"/>
            </w:rPr>
            <w:fldChar w:fldCharType="separate"/>
          </w:r>
          <w:r>
            <w:rPr>
              <w:rFonts w:ascii="Times New Roman" w:hAnsi="Times New Roman" w:cs="Times New Roman"/>
              <w:sz w:val="21"/>
              <w:szCs w:val="32"/>
            </w:rPr>
            <w:t>- 7 -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1"/>
            <w:tabs>
              <w:tab w:val="right" w:leader="dot" w:pos="9412"/>
            </w:tabs>
            <w:ind w:left="0" w:leftChars="0"/>
            <w:rPr>
              <w:rFonts w:ascii="Times New Roman" w:hAnsi="Times New Roman" w:cs="Times New Roman"/>
            </w:rPr>
          </w:pPr>
          <w:r>
            <w:fldChar w:fldCharType="begin"/>
          </w:r>
          <w:r>
            <w:instrText xml:space="preserve"> HYPERLINK \l "_Toc9354" </w:instrText>
          </w:r>
          <w:r>
            <w:fldChar w:fldCharType="separate"/>
          </w:r>
          <w:r>
            <w:rPr>
              <w:rFonts w:ascii="Times New Roman" w:hAnsi="Times New Roman" w:eastAsia="方正黑体_GBK" w:cs="Times New Roman"/>
              <w:sz w:val="28"/>
              <w:szCs w:val="28"/>
            </w:rPr>
            <w:t>第四篇  比选程序及方法、评审标准、无效响应和采购终止</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_Toc9354 \h </w:instrText>
          </w:r>
          <w:r>
            <w:rPr>
              <w:rFonts w:ascii="Times New Roman" w:hAnsi="Times New Roman" w:cs="Times New Roman"/>
            </w:rPr>
            <w:fldChar w:fldCharType="separate"/>
          </w:r>
          <w:r>
            <w:rPr>
              <w:rFonts w:ascii="Times New Roman" w:hAnsi="Times New Roman" w:cs="Times New Roman"/>
            </w:rPr>
            <w:t>- 7 -</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"_Toc15546" </w:instrText>
          </w:r>
          <w:r>
            <w:fldChar w:fldCharType="separate"/>
          </w:r>
          <w:r>
            <w:rPr>
              <w:rFonts w:ascii="Times New Roman" w:hAnsi="Times New Roman" w:cs="Times New Roman"/>
              <w:sz w:val="21"/>
              <w:szCs w:val="32"/>
            </w:rPr>
            <w:t>一、比选程序及方法</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_Toc15546 \h </w:instrText>
          </w:r>
          <w:r>
            <w:rPr>
              <w:rFonts w:ascii="Times New Roman" w:hAnsi="Times New Roman" w:cs="Times New Roman"/>
              <w:sz w:val="21"/>
              <w:szCs w:val="32"/>
            </w:rPr>
            <w:fldChar w:fldCharType="separate"/>
          </w:r>
          <w:r>
            <w:rPr>
              <w:rFonts w:ascii="Times New Roman" w:hAnsi="Times New Roman" w:cs="Times New Roman"/>
              <w:sz w:val="21"/>
              <w:szCs w:val="32"/>
            </w:rPr>
            <w:t>- 7 -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420" w:firstLineChars="200"/>
            <w:rPr>
              <w:rFonts w:ascii="Times New Roman" w:hAnsi="Times New Roman" w:cs="Times New Roman"/>
              <w:sz w:val="21"/>
              <w:szCs w:val="32"/>
            </w:rPr>
          </w:pPr>
          <w:r>
            <w:rPr>
              <w:rFonts w:hint="eastAsia" w:ascii="Times New Roman" w:hAnsi="Times New Roman" w:cs="Times New Roman"/>
              <w:sz w:val="21"/>
              <w:szCs w:val="32"/>
              <w:lang w:val="en-US" w:eastAsia="zh-CN"/>
            </w:rPr>
            <w:t xml:space="preserve">  </w:t>
          </w:r>
          <w:r>
            <w:rPr>
              <w:rFonts w:ascii="Times New Roman" w:hAnsi="Times New Roman" w:cs="Times New Roman"/>
              <w:sz w:val="21"/>
              <w:szCs w:val="32"/>
            </w:rPr>
            <w:t>二、评审标准......................</w:t>
          </w:r>
          <w:r>
            <w:rPr>
              <w:rFonts w:hint="eastAsia" w:ascii="Times New Roman" w:hAnsi="Times New Roman" w:cs="Times New Roman"/>
              <w:sz w:val="21"/>
              <w:szCs w:val="32"/>
              <w:lang w:val="en-US" w:eastAsia="zh-CN"/>
            </w:rPr>
            <w:t>..</w:t>
          </w:r>
          <w:r>
            <w:rPr>
              <w:rFonts w:ascii="Times New Roman" w:hAnsi="Times New Roman" w:cs="Times New Roman"/>
              <w:sz w:val="21"/>
              <w:szCs w:val="32"/>
            </w:rPr>
            <w:t>.................................................................................................</w:t>
          </w:r>
          <w:r>
            <w:rPr>
              <w:rFonts w:hint="eastAsia" w:ascii="Times New Roman" w:hAnsi="Times New Roman" w:cs="Times New Roman"/>
              <w:sz w:val="21"/>
              <w:szCs w:val="32"/>
              <w:lang w:val="en-US" w:eastAsia="zh-CN"/>
            </w:rPr>
            <w:t>....</w:t>
          </w:r>
          <w:r>
            <w:rPr>
              <w:rFonts w:ascii="Times New Roman" w:hAnsi="Times New Roman" w:cs="Times New Roman"/>
              <w:sz w:val="21"/>
              <w:szCs w:val="32"/>
            </w:rPr>
            <w:t>.............</w:t>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_Toc15546 \h </w:instrText>
          </w:r>
          <w:r>
            <w:rPr>
              <w:rFonts w:ascii="Times New Roman" w:hAnsi="Times New Roman" w:cs="Times New Roman"/>
              <w:sz w:val="21"/>
              <w:szCs w:val="32"/>
            </w:rPr>
            <w:fldChar w:fldCharType="separate"/>
          </w:r>
          <w:r>
            <w:rPr>
              <w:rFonts w:ascii="Times New Roman" w:hAnsi="Times New Roman" w:cs="Times New Roman"/>
              <w:sz w:val="21"/>
              <w:szCs w:val="32"/>
            </w:rPr>
            <w:t>- 9 -</w:t>
          </w:r>
          <w:r>
            <w:rPr>
              <w:rFonts w:ascii="Times New Roman" w:hAnsi="Times New Roman" w:cs="Times New Roman"/>
              <w:sz w:val="21"/>
              <w:szCs w:val="32"/>
            </w:rPr>
            <w:fldChar w:fldCharType="end"/>
          </w:r>
        </w:p>
        <w:p>
          <w:pPr>
            <w:pStyle w:val="10"/>
            <w:tabs>
              <w:tab w:val="right" w:leader="dot" w:pos="9412"/>
            </w:tabs>
            <w:spacing w:line="240" w:lineRule="auto"/>
            <w:ind w:firstLine="630" w:firstLineChars="300"/>
            <w:jc w:val="both"/>
            <w:rPr>
              <w:rFonts w:ascii="Times New Roman" w:hAnsi="Times New Roman" w:cs="Times New Roman"/>
              <w:sz w:val="21"/>
              <w:szCs w:val="32"/>
            </w:rPr>
          </w:pPr>
          <w:r>
            <w:rPr>
              <w:rFonts w:ascii="Times New Roman" w:hAnsi="Times New Roman" w:cs="Times New Roman"/>
              <w:sz w:val="21"/>
              <w:szCs w:val="32"/>
            </w:rPr>
            <w:t>三、无效响应.....................................</w:t>
          </w:r>
          <w:r>
            <w:rPr>
              <w:rFonts w:hint="eastAsia" w:ascii="Times New Roman" w:hAnsi="Times New Roman" w:cs="Times New Roman"/>
              <w:sz w:val="21"/>
              <w:szCs w:val="32"/>
              <w:lang w:val="en-US" w:eastAsia="zh-CN"/>
            </w:rPr>
            <w:t>......</w:t>
          </w:r>
          <w:r>
            <w:rPr>
              <w:rFonts w:ascii="Times New Roman" w:hAnsi="Times New Roman" w:cs="Times New Roman"/>
              <w:sz w:val="21"/>
              <w:szCs w:val="32"/>
            </w:rPr>
            <w:t>............................................................................................</w:t>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_Toc15546 \h </w:instrText>
          </w:r>
          <w:r>
            <w:rPr>
              <w:rFonts w:ascii="Times New Roman" w:hAnsi="Times New Roman" w:cs="Times New Roman"/>
              <w:sz w:val="21"/>
              <w:szCs w:val="32"/>
            </w:rPr>
            <w:fldChar w:fldCharType="separate"/>
          </w:r>
          <w:r>
            <w:rPr>
              <w:rFonts w:ascii="Times New Roman" w:hAnsi="Times New Roman" w:cs="Times New Roman"/>
              <w:sz w:val="21"/>
              <w:szCs w:val="32"/>
            </w:rPr>
            <w:t>- 10 -</w:t>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jc w:val="both"/>
            <w:rPr>
              <w:rFonts w:ascii="Times New Roman" w:hAnsi="Times New Roman" w:cs="Times New Roman"/>
            </w:rPr>
          </w:pPr>
          <w:r>
            <w:fldChar w:fldCharType="begin"/>
          </w:r>
          <w:r>
            <w:instrText xml:space="preserve"> HYPERLINK \l "_Toc19460" </w:instrText>
          </w:r>
          <w:r>
            <w:fldChar w:fldCharType="separate"/>
          </w:r>
          <w:r>
            <w:rPr>
              <w:rFonts w:ascii="Times New Roman" w:hAnsi="Times New Roman" w:cs="Times New Roman"/>
              <w:sz w:val="21"/>
              <w:szCs w:val="32"/>
            </w:rPr>
            <w:t>四、采购终止</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_Toc19460 \h </w:instrText>
          </w:r>
          <w:r>
            <w:rPr>
              <w:rFonts w:ascii="Times New Roman" w:hAnsi="Times New Roman" w:cs="Times New Roman"/>
              <w:sz w:val="21"/>
              <w:szCs w:val="32"/>
            </w:rPr>
            <w:fldChar w:fldCharType="separate"/>
          </w:r>
          <w:r>
            <w:rPr>
              <w:rFonts w:ascii="Times New Roman" w:hAnsi="Times New Roman" w:cs="Times New Roman"/>
              <w:sz w:val="21"/>
              <w:szCs w:val="32"/>
            </w:rPr>
            <w:t>- 10 -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1"/>
            <w:tabs>
              <w:tab w:val="right" w:leader="dot" w:pos="9412"/>
            </w:tabs>
            <w:ind w:left="0" w:leftChars="0"/>
            <w:rPr>
              <w:rFonts w:ascii="Times New Roman" w:hAnsi="Times New Roman" w:cs="Times New Roman"/>
            </w:rPr>
          </w:pPr>
          <w:r>
            <w:fldChar w:fldCharType="begin"/>
          </w:r>
          <w:r>
            <w:instrText xml:space="preserve"> HYPERLINK \l "_Toc14343" </w:instrText>
          </w:r>
          <w:r>
            <w:fldChar w:fldCharType="separate"/>
          </w:r>
          <w:r>
            <w:rPr>
              <w:rFonts w:ascii="Times New Roman" w:hAnsi="Times New Roman" w:eastAsia="方正黑体_GBK" w:cs="Times New Roman"/>
              <w:sz w:val="28"/>
              <w:szCs w:val="28"/>
            </w:rPr>
            <w:t>第五篇  供应商须知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_Toc14343 \h </w:instrText>
          </w:r>
          <w:r>
            <w:rPr>
              <w:rFonts w:ascii="Times New Roman" w:hAnsi="Times New Roman" w:cs="Times New Roman"/>
            </w:rPr>
            <w:fldChar w:fldCharType="separate"/>
          </w:r>
          <w:r>
            <w:rPr>
              <w:rFonts w:ascii="Times New Roman" w:hAnsi="Times New Roman" w:cs="Times New Roman"/>
            </w:rPr>
            <w:t>- 11 -</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"_Toc518" </w:instrText>
          </w:r>
          <w:r>
            <w:fldChar w:fldCharType="separate"/>
          </w:r>
          <w:r>
            <w:rPr>
              <w:rFonts w:ascii="Times New Roman" w:hAnsi="Times New Roman" w:cs="Times New Roman"/>
              <w:sz w:val="21"/>
              <w:szCs w:val="32"/>
            </w:rPr>
            <w:t>一、竞争性比选文件</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_Toc518 \h </w:instrText>
          </w:r>
          <w:r>
            <w:rPr>
              <w:rFonts w:ascii="Times New Roman" w:hAnsi="Times New Roman" w:cs="Times New Roman"/>
              <w:sz w:val="21"/>
              <w:szCs w:val="32"/>
            </w:rPr>
            <w:fldChar w:fldCharType="separate"/>
          </w:r>
          <w:r>
            <w:rPr>
              <w:rFonts w:ascii="Times New Roman" w:hAnsi="Times New Roman" w:cs="Times New Roman"/>
              <w:sz w:val="21"/>
              <w:szCs w:val="32"/>
            </w:rPr>
            <w:t>- 11 -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"_Toc26850" </w:instrText>
          </w:r>
          <w:r>
            <w:fldChar w:fldCharType="separate"/>
          </w:r>
          <w:r>
            <w:rPr>
              <w:rFonts w:ascii="Times New Roman" w:hAnsi="Times New Roman" w:cs="Times New Roman"/>
              <w:sz w:val="21"/>
              <w:szCs w:val="32"/>
            </w:rPr>
            <w:t>二、比选要求</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_Toc26850 \h </w:instrText>
          </w:r>
          <w:r>
            <w:rPr>
              <w:rFonts w:ascii="Times New Roman" w:hAnsi="Times New Roman" w:cs="Times New Roman"/>
              <w:sz w:val="21"/>
              <w:szCs w:val="32"/>
            </w:rPr>
            <w:fldChar w:fldCharType="separate"/>
          </w:r>
          <w:r>
            <w:rPr>
              <w:rFonts w:ascii="Times New Roman" w:hAnsi="Times New Roman" w:cs="Times New Roman"/>
              <w:sz w:val="21"/>
              <w:szCs w:val="32"/>
            </w:rPr>
            <w:t>- 11 -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"_Toc30262" </w:instrText>
          </w:r>
          <w:r>
            <w:fldChar w:fldCharType="separate"/>
          </w:r>
          <w:r>
            <w:rPr>
              <w:rFonts w:ascii="Times New Roman" w:hAnsi="Times New Roman" w:cs="Times New Roman"/>
              <w:sz w:val="21"/>
              <w:szCs w:val="32"/>
            </w:rPr>
            <w:t>三、中标供应商的确认和变更</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_Toc30262 \h </w:instrText>
          </w:r>
          <w:r>
            <w:rPr>
              <w:rFonts w:ascii="Times New Roman" w:hAnsi="Times New Roman" w:cs="Times New Roman"/>
              <w:sz w:val="21"/>
              <w:szCs w:val="32"/>
            </w:rPr>
            <w:fldChar w:fldCharType="separate"/>
          </w:r>
          <w:r>
            <w:rPr>
              <w:rFonts w:ascii="Times New Roman" w:hAnsi="Times New Roman" w:cs="Times New Roman"/>
              <w:sz w:val="21"/>
              <w:szCs w:val="32"/>
            </w:rPr>
            <w:t>- 13 -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"_Toc27559" </w:instrText>
          </w:r>
          <w:r>
            <w:fldChar w:fldCharType="separate"/>
          </w:r>
          <w:r>
            <w:rPr>
              <w:rFonts w:ascii="Times New Roman" w:hAnsi="Times New Roman" w:cs="Times New Roman"/>
              <w:sz w:val="21"/>
              <w:szCs w:val="32"/>
            </w:rPr>
            <w:t>四、中标通知</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_Toc27559 \h </w:instrText>
          </w:r>
          <w:r>
            <w:rPr>
              <w:rFonts w:ascii="Times New Roman" w:hAnsi="Times New Roman" w:cs="Times New Roman"/>
              <w:sz w:val="21"/>
              <w:szCs w:val="32"/>
            </w:rPr>
            <w:fldChar w:fldCharType="separate"/>
          </w:r>
          <w:r>
            <w:rPr>
              <w:rFonts w:ascii="Times New Roman" w:hAnsi="Times New Roman" w:cs="Times New Roman"/>
              <w:sz w:val="21"/>
              <w:szCs w:val="32"/>
            </w:rPr>
            <w:t>- 13 -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"_Toc17065" </w:instrText>
          </w:r>
          <w:r>
            <w:fldChar w:fldCharType="separate"/>
          </w:r>
          <w:r>
            <w:rPr>
              <w:rFonts w:ascii="Times New Roman" w:hAnsi="Times New Roman" w:cs="Times New Roman"/>
              <w:sz w:val="21"/>
              <w:szCs w:val="32"/>
            </w:rPr>
            <w:t>五、关于质疑和投诉</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_Toc17065 \h </w:instrText>
          </w:r>
          <w:r>
            <w:rPr>
              <w:rFonts w:ascii="Times New Roman" w:hAnsi="Times New Roman" w:cs="Times New Roman"/>
              <w:sz w:val="21"/>
              <w:szCs w:val="32"/>
            </w:rPr>
            <w:fldChar w:fldCharType="separate"/>
          </w:r>
          <w:r>
            <w:rPr>
              <w:rFonts w:ascii="Times New Roman" w:hAnsi="Times New Roman" w:cs="Times New Roman"/>
              <w:sz w:val="21"/>
              <w:szCs w:val="32"/>
            </w:rPr>
            <w:t>- 13 -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rPr>
          </w:pPr>
          <w:r>
            <w:fldChar w:fldCharType="begin"/>
          </w:r>
          <w:r>
            <w:instrText xml:space="preserve"> HYPERLINK \l "_Toc23218" </w:instrText>
          </w:r>
          <w:r>
            <w:fldChar w:fldCharType="separate"/>
          </w:r>
          <w:r>
            <w:rPr>
              <w:rFonts w:ascii="Times New Roman" w:hAnsi="Times New Roman" w:cs="Times New Roman"/>
              <w:sz w:val="21"/>
              <w:szCs w:val="32"/>
            </w:rPr>
            <w:t>六、签订合同</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_Toc23218 \h </w:instrText>
          </w:r>
          <w:r>
            <w:rPr>
              <w:rFonts w:ascii="Times New Roman" w:hAnsi="Times New Roman" w:cs="Times New Roman"/>
              <w:sz w:val="21"/>
              <w:szCs w:val="32"/>
            </w:rPr>
            <w:fldChar w:fldCharType="separate"/>
          </w:r>
          <w:r>
            <w:rPr>
              <w:rFonts w:ascii="Times New Roman" w:hAnsi="Times New Roman" w:cs="Times New Roman"/>
              <w:sz w:val="21"/>
              <w:szCs w:val="32"/>
            </w:rPr>
            <w:t>- 15 -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1"/>
            <w:tabs>
              <w:tab w:val="right" w:leader="dot" w:pos="9412"/>
            </w:tabs>
            <w:ind w:left="0" w:leftChars="0"/>
            <w:rPr>
              <w:rFonts w:ascii="Times New Roman" w:hAnsi="Times New Roman" w:cs="Times New Roman"/>
            </w:rPr>
          </w:pPr>
          <w:r>
            <w:fldChar w:fldCharType="begin"/>
          </w:r>
          <w:r>
            <w:instrText xml:space="preserve"> HYPERLINK \l "_Toc10088" </w:instrText>
          </w:r>
          <w:r>
            <w:fldChar w:fldCharType="separate"/>
          </w:r>
          <w:r>
            <w:rPr>
              <w:rFonts w:ascii="Times New Roman" w:hAnsi="Times New Roman" w:eastAsia="方正黑体_GBK" w:cs="Times New Roman"/>
              <w:sz w:val="28"/>
              <w:szCs w:val="28"/>
            </w:rPr>
            <w:t>第六篇  响应文件格式要求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_Toc10088 \h </w:instrText>
          </w:r>
          <w:r>
            <w:rPr>
              <w:rFonts w:ascii="Times New Roman" w:hAnsi="Times New Roman" w:cs="Times New Roman"/>
            </w:rPr>
            <w:fldChar w:fldCharType="separate"/>
          </w:r>
          <w:r>
            <w:rPr>
              <w:rFonts w:ascii="Times New Roman" w:hAnsi="Times New Roman" w:cs="Times New Roman"/>
            </w:rPr>
            <w:t>- 15 -</w:t>
          </w:r>
          <w:r>
            <w:rPr>
              <w:rFonts w:ascii="Times New Roman" w:hAnsi="Times New Roman" w:cs="Times New Roman"/>
            </w:rPr>
            <w:fldChar w:fldCharType="end"/>
          </w:r>
          <w:r>
            <w:rPr>
              <w:rFonts w:ascii="Times New Roman" w:hAnsi="Times New Roman" w:cs="Times New Roman"/>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"_Toc26830" </w:instrText>
          </w:r>
          <w:r>
            <w:fldChar w:fldCharType="separate"/>
          </w:r>
          <w:r>
            <w:rPr>
              <w:rFonts w:ascii="Times New Roman" w:hAnsi="Times New Roman" w:cs="Times New Roman"/>
              <w:sz w:val="21"/>
              <w:szCs w:val="32"/>
            </w:rPr>
            <w:t>一、经济部分</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_Toc26830 \h </w:instrText>
          </w:r>
          <w:r>
            <w:rPr>
              <w:rFonts w:ascii="Times New Roman" w:hAnsi="Times New Roman" w:cs="Times New Roman"/>
              <w:sz w:val="21"/>
              <w:szCs w:val="32"/>
            </w:rPr>
            <w:fldChar w:fldCharType="separate"/>
          </w:r>
          <w:r>
            <w:rPr>
              <w:rFonts w:ascii="Times New Roman" w:hAnsi="Times New Roman" w:cs="Times New Roman"/>
              <w:sz w:val="21"/>
              <w:szCs w:val="32"/>
            </w:rPr>
            <w:t>- 15 -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"_Toc17676" </w:instrText>
          </w:r>
          <w:r>
            <w:fldChar w:fldCharType="separate"/>
          </w:r>
          <w:r>
            <w:rPr>
              <w:rFonts w:ascii="Times New Roman" w:hAnsi="Times New Roman" w:cs="Times New Roman"/>
              <w:sz w:val="21"/>
              <w:szCs w:val="32"/>
            </w:rPr>
            <w:t>二、资格条件及其他</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_Toc17676 \h </w:instrText>
          </w:r>
          <w:r>
            <w:rPr>
              <w:rFonts w:ascii="Times New Roman" w:hAnsi="Times New Roman" w:cs="Times New Roman"/>
              <w:sz w:val="21"/>
              <w:szCs w:val="32"/>
            </w:rPr>
            <w:fldChar w:fldCharType="separate"/>
          </w:r>
          <w:r>
            <w:rPr>
              <w:rFonts w:ascii="Times New Roman" w:hAnsi="Times New Roman" w:cs="Times New Roman"/>
              <w:sz w:val="21"/>
              <w:szCs w:val="32"/>
            </w:rPr>
            <w:t>- 15 -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pStyle w:val="10"/>
            <w:tabs>
              <w:tab w:val="right" w:leader="dot" w:pos="9412"/>
            </w:tabs>
            <w:spacing w:line="240" w:lineRule="auto"/>
            <w:ind w:firstLine="600" w:firstLineChars="200"/>
            <w:rPr>
              <w:rFonts w:ascii="Times New Roman" w:hAnsi="Times New Roman" w:cs="Times New Roman"/>
              <w:sz w:val="21"/>
              <w:szCs w:val="32"/>
            </w:rPr>
          </w:pPr>
          <w:r>
            <w:fldChar w:fldCharType="begin"/>
          </w:r>
          <w:r>
            <w:instrText xml:space="preserve"> HYPERLINK \l "_Toc29571" </w:instrText>
          </w:r>
          <w:r>
            <w:fldChar w:fldCharType="separate"/>
          </w:r>
          <w:r>
            <w:rPr>
              <w:rFonts w:ascii="Times New Roman" w:hAnsi="Times New Roman" w:cs="Times New Roman"/>
              <w:sz w:val="21"/>
              <w:szCs w:val="32"/>
            </w:rPr>
            <w:t>三、其他资料</w:t>
          </w:r>
          <w:r>
            <w:rPr>
              <w:rFonts w:ascii="Times New Roman" w:hAnsi="Times New Roman" w:cs="Times New Roman"/>
              <w:sz w:val="21"/>
              <w:szCs w:val="32"/>
            </w:rPr>
            <w:tab/>
          </w:r>
          <w:r>
            <w:rPr>
              <w:rFonts w:ascii="Times New Roman" w:hAnsi="Times New Roman" w:cs="Times New Roman"/>
              <w:sz w:val="21"/>
              <w:szCs w:val="32"/>
            </w:rPr>
            <w:fldChar w:fldCharType="begin"/>
          </w:r>
          <w:r>
            <w:rPr>
              <w:rFonts w:ascii="Times New Roman" w:hAnsi="Times New Roman" w:cs="Times New Roman"/>
              <w:sz w:val="21"/>
              <w:szCs w:val="32"/>
            </w:rPr>
            <w:instrText xml:space="preserve"> PAGEREF _Toc29571 \h </w:instrText>
          </w:r>
          <w:r>
            <w:rPr>
              <w:rFonts w:ascii="Times New Roman" w:hAnsi="Times New Roman" w:cs="Times New Roman"/>
              <w:sz w:val="21"/>
              <w:szCs w:val="32"/>
            </w:rPr>
            <w:fldChar w:fldCharType="separate"/>
          </w:r>
          <w:r>
            <w:rPr>
              <w:rFonts w:ascii="Times New Roman" w:hAnsi="Times New Roman" w:cs="Times New Roman"/>
              <w:sz w:val="21"/>
              <w:szCs w:val="32"/>
            </w:rPr>
            <w:t>- 16 -</w:t>
          </w:r>
          <w:r>
            <w:rPr>
              <w:rFonts w:ascii="Times New Roman" w:hAnsi="Times New Roman" w:cs="Times New Roman"/>
              <w:sz w:val="21"/>
              <w:szCs w:val="32"/>
            </w:rPr>
            <w:fldChar w:fldCharType="end"/>
          </w:r>
          <w:r>
            <w:rPr>
              <w:rFonts w:ascii="Times New Roman" w:hAnsi="Times New Roman" w:cs="Times New Roman"/>
              <w:sz w:val="21"/>
              <w:szCs w:val="32"/>
            </w:rPr>
            <w:fldChar w:fldCharType="end"/>
          </w:r>
        </w:p>
        <w:p>
          <w:pPr>
            <w:tabs>
              <w:tab w:val="right" w:leader="dot" w:pos="9402"/>
            </w:tabs>
            <w:rPr>
              <w:rFonts w:ascii="Times New Roman" w:hAnsi="Times New Roman" w:eastAsia="方正仿宋_GBK" w:cs="Times New Roman"/>
              <w:sz w:val="1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ascii="Times New Roman" w:hAnsi="Times New Roman" w:eastAsia="方正仿宋_GBK" w:cs="Times New Roman"/>
              <w:b/>
            </w:rPr>
            <w:fldChar w:fldCharType="end"/>
          </w:r>
        </w:p>
      </w:sdtContent>
    </w:sdt>
    <w:p>
      <w:pPr>
        <w:pStyle w:val="4"/>
        <w:spacing w:before="0" w:after="0" w:line="560" w:lineRule="exact"/>
        <w:jc w:val="center"/>
        <w:rPr>
          <w:rFonts w:ascii="Times New Roman" w:hAnsi="Times New Roman" w:cs="Times New Roman"/>
          <w:b w:val="0"/>
          <w:color w:val="000000"/>
          <w:szCs w:val="32"/>
        </w:rPr>
      </w:pPr>
      <w:bookmarkStart w:id="2" w:name="_Toc11641050"/>
      <w:bookmarkStart w:id="3" w:name="_Toc82880022"/>
      <w:bookmarkStart w:id="4" w:name="_Toc17840"/>
      <w:bookmarkStart w:id="5" w:name="_Toc12789052"/>
      <w:bookmarkStart w:id="6" w:name="_Toc32141"/>
      <w:r>
        <w:rPr>
          <w:rFonts w:ascii="Times New Roman" w:hAnsi="Times New Roman" w:cs="Times New Roman"/>
          <w:b w:val="0"/>
          <w:color w:val="000000"/>
          <w:szCs w:val="32"/>
        </w:rPr>
        <w:t>第一篇  竞争性比选</w:t>
      </w:r>
      <w:bookmarkEnd w:id="2"/>
      <w:bookmarkEnd w:id="3"/>
      <w:bookmarkEnd w:id="4"/>
      <w:bookmarkEnd w:id="5"/>
      <w:r>
        <w:rPr>
          <w:rFonts w:ascii="Times New Roman" w:hAnsi="Times New Roman" w:cs="Times New Roman"/>
          <w:b w:val="0"/>
          <w:color w:val="000000"/>
          <w:szCs w:val="32"/>
        </w:rPr>
        <w:t>公告</w:t>
      </w:r>
      <w:bookmarkEnd w:id="6"/>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金凤实验室拟以竞争性比选方式聘请第三方安全服务公司。欢迎有资格的供应商前来参加。</w:t>
      </w:r>
    </w:p>
    <w:p>
      <w:pPr>
        <w:numPr>
          <w:ilvl w:val="0"/>
          <w:numId w:val="1"/>
        </w:numPr>
        <w:snapToGrid w:val="0"/>
        <w:spacing w:line="560" w:lineRule="exact"/>
        <w:ind w:firstLine="560" w:firstLineChars="200"/>
        <w:outlineLvl w:val="0"/>
        <w:rPr>
          <w:rFonts w:ascii="Times New Roman" w:hAnsi="Times New Roman" w:eastAsia="方正黑体_GBK" w:cs="Times New Roman"/>
          <w:kern w:val="0"/>
          <w:sz w:val="28"/>
          <w:szCs w:val="28"/>
        </w:rPr>
      </w:pPr>
      <w:bookmarkStart w:id="7" w:name="_Toc317775175"/>
      <w:bookmarkStart w:id="8" w:name="_Toc82880023"/>
      <w:bookmarkStart w:id="9" w:name="_Toc24471"/>
      <w:bookmarkStart w:id="10" w:name="_Toc313893526"/>
      <w:bookmarkStart w:id="11" w:name="_Toc6661"/>
      <w:r>
        <w:rPr>
          <w:rFonts w:ascii="Times New Roman" w:hAnsi="Times New Roman" w:eastAsia="方正黑体_GBK" w:cs="Times New Roman"/>
          <w:kern w:val="0"/>
          <w:sz w:val="28"/>
          <w:szCs w:val="28"/>
        </w:rPr>
        <w:t>竞争性比选</w:t>
      </w:r>
      <w:bookmarkEnd w:id="7"/>
      <w:bookmarkEnd w:id="8"/>
      <w:bookmarkEnd w:id="9"/>
      <w:bookmarkEnd w:id="10"/>
      <w:bookmarkStart w:id="12" w:name="_Toc82880024"/>
      <w:bookmarkStart w:id="13" w:name="_Toc373860293"/>
      <w:bookmarkStart w:id="14" w:name="_Toc317775178"/>
      <w:r>
        <w:rPr>
          <w:rFonts w:ascii="Times New Roman" w:hAnsi="Times New Roman" w:eastAsia="方正黑体_GBK" w:cs="Times New Roman"/>
          <w:kern w:val="0"/>
          <w:sz w:val="28"/>
          <w:szCs w:val="28"/>
        </w:rPr>
        <w:t>项目</w:t>
      </w:r>
      <w:bookmarkEnd w:id="11"/>
    </w:p>
    <w:p>
      <w:pPr>
        <w:pStyle w:val="2"/>
        <w:spacing w:line="560" w:lineRule="exact"/>
        <w:ind w:firstLine="560" w:firstLineChars="200"/>
        <w:rPr>
          <w:rFonts w:ascii="Times New Roman" w:hAnsi="Times New Roman"/>
        </w:rPr>
      </w:pPr>
      <w:r>
        <w:rPr>
          <w:rFonts w:ascii="Times New Roman" w:hAnsi="Times New Roman" w:eastAsia="方正仿宋_GBK"/>
          <w:sz w:val="28"/>
          <w:szCs w:val="28"/>
        </w:rPr>
        <w:t>金凤实验室聘请第三方安全服务公司。</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5" w:name="_Toc26610"/>
      <w:bookmarkStart w:id="16" w:name="_Toc25627"/>
      <w:r>
        <w:rPr>
          <w:rFonts w:ascii="Times New Roman" w:hAnsi="Times New Roman" w:eastAsia="方正黑体_GBK" w:cs="Times New Roman"/>
          <w:kern w:val="0"/>
          <w:sz w:val="28"/>
          <w:szCs w:val="28"/>
        </w:rPr>
        <w:t>二、资金来源</w:t>
      </w:r>
      <w:bookmarkEnd w:id="12"/>
      <w:bookmarkEnd w:id="15"/>
      <w:bookmarkEnd w:id="16"/>
    </w:p>
    <w:p>
      <w:pPr>
        <w:spacing w:line="560" w:lineRule="exact"/>
        <w:ind w:firstLine="560" w:firstLineChars="200"/>
        <w:rPr>
          <w:rFonts w:ascii="Times New Roman" w:hAnsi="Times New Roman" w:eastAsia="方正仿宋_GBK" w:cs="Times New Roman"/>
          <w:color w:val="000000"/>
          <w:szCs w:val="28"/>
        </w:rPr>
      </w:pPr>
      <w:bookmarkStart w:id="17" w:name="_Toc19486"/>
      <w:bookmarkStart w:id="18" w:name="_Toc82880025"/>
      <w:bookmarkStart w:id="19" w:name="_Toc96680024"/>
      <w:bookmarkStart w:id="20" w:name="_Toc96681777"/>
      <w:r>
        <w:rPr>
          <w:rFonts w:ascii="Times New Roman" w:hAnsi="Times New Roman" w:eastAsia="方正仿宋_GBK" w:cs="Times New Roman"/>
          <w:sz w:val="28"/>
          <w:szCs w:val="28"/>
        </w:rPr>
        <w:t>实验室自筹，</w:t>
      </w:r>
      <w:bookmarkEnd w:id="17"/>
      <w:bookmarkEnd w:id="18"/>
      <w:r>
        <w:rPr>
          <w:rFonts w:ascii="Times New Roman" w:hAnsi="Times New Roman" w:eastAsia="方正仿宋_GBK" w:cs="Times New Roman"/>
          <w:sz w:val="28"/>
          <w:szCs w:val="28"/>
        </w:rPr>
        <w:t>资金已到位。</w:t>
      </w:r>
      <w:bookmarkEnd w:id="19"/>
      <w:bookmarkEnd w:id="20"/>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21" w:name="_Toc82880026"/>
      <w:bookmarkStart w:id="22" w:name="_Toc13016"/>
      <w:bookmarkStart w:id="23" w:name="_Toc16987"/>
      <w:r>
        <w:rPr>
          <w:rFonts w:ascii="Times New Roman" w:hAnsi="Times New Roman" w:eastAsia="方正黑体_GBK" w:cs="Times New Roman"/>
          <w:kern w:val="0"/>
          <w:sz w:val="28"/>
          <w:szCs w:val="28"/>
        </w:rPr>
        <w:t>三、比选资格</w:t>
      </w:r>
      <w:bookmarkEnd w:id="21"/>
      <w:bookmarkEnd w:id="22"/>
      <w:bookmarkEnd w:id="23"/>
    </w:p>
    <w:p>
      <w:pPr>
        <w:spacing w:line="560" w:lineRule="exact"/>
        <w:ind w:firstLine="560" w:firstLineChars="200"/>
        <w:outlineLvl w:val="1"/>
        <w:rPr>
          <w:rFonts w:ascii="Times New Roman" w:hAnsi="Times New Roman" w:eastAsia="方正仿宋_GBK" w:cs="Times New Roman"/>
          <w:sz w:val="28"/>
          <w:szCs w:val="28"/>
        </w:rPr>
      </w:pPr>
      <w:r>
        <w:rPr>
          <w:rFonts w:ascii="Times New Roman" w:hAnsi="Times New Roman" w:eastAsia="方正仿宋_GBK" w:cs="Times New Roman"/>
          <w:sz w:val="28"/>
          <w:szCs w:val="28"/>
        </w:rPr>
        <w:t>（一）基本资格条件</w:t>
      </w:r>
    </w:p>
    <w:p>
      <w:pPr>
        <w:spacing w:line="560" w:lineRule="exact"/>
        <w:ind w:firstLine="560" w:firstLineChars="200"/>
        <w:rPr>
          <w:rFonts w:ascii="Times New Roman" w:hAnsi="Times New Roman" w:eastAsia="方正仿宋_GBK" w:cs="Times New Roman"/>
          <w:sz w:val="28"/>
          <w:szCs w:val="28"/>
        </w:rPr>
      </w:pPr>
      <w:bookmarkStart w:id="24" w:name="_Toc82880027"/>
      <w:r>
        <w:rPr>
          <w:rFonts w:ascii="Times New Roman" w:hAnsi="Times New Roman" w:eastAsia="方正仿宋_GBK" w:cs="Times New Roman"/>
          <w:sz w:val="28"/>
          <w:szCs w:val="28"/>
        </w:rPr>
        <w:t>1.具有独立承担民事责任的能力；</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2.具有良好的商业信誉和健全的财务会计制度；</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3.具有履行合同所必需的设备和专业技术能力；</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4.有依法缴纳税收和社会保障资金的良好记录；</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5.前三年内，在参加政府采购活动中没有重大违法记录；</w:t>
      </w:r>
    </w:p>
    <w:p>
      <w:pPr>
        <w:spacing w:line="560" w:lineRule="exact"/>
        <w:ind w:firstLine="560" w:firstLineChars="200"/>
        <w:outlineLvl w:val="1"/>
        <w:rPr>
          <w:rFonts w:ascii="Times New Roman" w:hAnsi="Times New Roman" w:cs="Times New Roman"/>
        </w:rPr>
      </w:pPr>
      <w:r>
        <w:rPr>
          <w:rFonts w:ascii="Times New Roman" w:hAnsi="Times New Roman" w:eastAsia="方正仿宋_GBK" w:cs="Times New Roman"/>
          <w:sz w:val="28"/>
          <w:szCs w:val="28"/>
        </w:rPr>
        <w:t>（二）特定资格条件</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1.比选申请人营业执照在有效期内，经营范围须包含“安全生产技术服务、安全技术咨询服务、消防技术服务”等相关服务范围。</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25" w:name="_Toc7173"/>
      <w:bookmarkStart w:id="26" w:name="_Toc30967"/>
      <w:r>
        <w:rPr>
          <w:rFonts w:ascii="Times New Roman" w:hAnsi="Times New Roman" w:eastAsia="方正黑体_GBK" w:cs="Times New Roman"/>
          <w:kern w:val="0"/>
          <w:sz w:val="28"/>
          <w:szCs w:val="28"/>
        </w:rPr>
        <w:t>四、比选有关说明</w:t>
      </w:r>
      <w:bookmarkEnd w:id="13"/>
      <w:bookmarkEnd w:id="24"/>
      <w:bookmarkEnd w:id="25"/>
      <w:bookmarkEnd w:id="26"/>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（一）本项目本着公开、公平、公正、高效廉洁的原则，根据实验室相关规定，合理设置采购需求，自行组织采购，并做好预算、合同、资产、支付等内控管理工作。 </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（二）本项目采购公告于金凤实验室官网（http://www.jflab.ac.cn）公布。</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凡有意参加比选的供应商，请于公告发布之日起至报名截止时间之前。在金凤实验室官网上下载本项目竞争性比选文件、补遗等比选前公布的所有项目资料，无论供应商下载与否，均视为已知晓所有比选实质性要求内容。</w:t>
      </w:r>
    </w:p>
    <w:bookmarkEnd w:id="14"/>
    <w:p>
      <w:pPr>
        <w:spacing w:line="560" w:lineRule="exact"/>
        <w:ind w:firstLine="560" w:firstLineChars="200"/>
        <w:rPr>
          <w:rFonts w:ascii="Times New Roman" w:hAnsi="Times New Roman" w:eastAsia="方正仿宋_GBK" w:cs="Times New Roman"/>
          <w:sz w:val="28"/>
          <w:szCs w:val="28"/>
        </w:rPr>
      </w:pPr>
      <w:bookmarkStart w:id="27" w:name="_Toc28273"/>
      <w:bookmarkStart w:id="28" w:name="_Toc29706"/>
      <w:bookmarkStart w:id="29" w:name="_Toc82880028"/>
      <w:r>
        <w:rPr>
          <w:rFonts w:ascii="Times New Roman" w:hAnsi="Times New Roman" w:eastAsia="方正仿宋_GBK" w:cs="Times New Roman"/>
          <w:sz w:val="28"/>
          <w:szCs w:val="28"/>
        </w:rPr>
        <w:t>（四）报名时间、方式：</w:t>
      </w:r>
      <w:bookmarkEnd w:id="27"/>
      <w:bookmarkEnd w:id="28"/>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1.报名时间：</w:t>
      </w:r>
      <w:r>
        <w:rPr>
          <w:rFonts w:ascii="Times New Roman" w:hAnsi="Times New Roman" w:eastAsia="方正仿宋_GBK" w:cs="Times New Roman"/>
          <w:color w:val="auto"/>
          <w:sz w:val="28"/>
          <w:szCs w:val="28"/>
        </w:rPr>
        <w:t>2023年</w:t>
      </w:r>
      <w:r>
        <w:rPr>
          <w:rFonts w:hint="eastAsia" w:ascii="Times New Roman" w:hAnsi="Times New Roman" w:eastAsia="方正仿宋_GBK" w:cs="Times New Roman"/>
          <w:color w:val="auto"/>
          <w:sz w:val="28"/>
          <w:szCs w:val="28"/>
          <w:lang w:val="en-US" w:eastAsia="zh-CN"/>
        </w:rPr>
        <w:t>8</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2</w:t>
      </w:r>
      <w:r>
        <w:rPr>
          <w:rFonts w:ascii="Times New Roman" w:hAnsi="Times New Roman" w:eastAsia="方正仿宋_GBK" w:cs="Times New Roman"/>
          <w:color w:val="auto"/>
          <w:sz w:val="28"/>
          <w:szCs w:val="28"/>
        </w:rPr>
        <w:t>日-2023年</w:t>
      </w:r>
      <w:r>
        <w:rPr>
          <w:rFonts w:hint="eastAsia" w:ascii="Times New Roman" w:hAnsi="Times New Roman" w:eastAsia="方正仿宋_GBK" w:cs="Times New Roman"/>
          <w:color w:val="auto"/>
          <w:sz w:val="28"/>
          <w:szCs w:val="28"/>
          <w:lang w:val="en-US" w:eastAsia="zh-CN"/>
        </w:rPr>
        <w:t>8</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8</w:t>
      </w:r>
      <w:r>
        <w:rPr>
          <w:rFonts w:ascii="Times New Roman" w:hAnsi="Times New Roman" w:eastAsia="方正仿宋_GBK" w:cs="Times New Roman"/>
          <w:color w:val="auto"/>
          <w:sz w:val="28"/>
          <w:szCs w:val="28"/>
        </w:rPr>
        <w:t>日北京时间</w:t>
      </w:r>
      <w:r>
        <w:rPr>
          <w:rFonts w:hint="eastAsia" w:ascii="Times New Roman" w:hAnsi="Times New Roman" w:eastAsia="方正仿宋_GBK" w:cs="Times New Roman"/>
          <w:color w:val="auto"/>
          <w:sz w:val="28"/>
          <w:szCs w:val="28"/>
          <w:lang w:val="en-US" w:eastAsia="zh-CN"/>
        </w:rPr>
        <w:t>17</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00</w:t>
      </w:r>
      <w:r>
        <w:rPr>
          <w:rFonts w:ascii="Times New Roman" w:hAnsi="Times New Roman" w:eastAsia="方正仿宋_GBK" w:cs="Times New Roman"/>
          <w:color w:val="auto"/>
          <w:sz w:val="28"/>
          <w:szCs w:val="28"/>
        </w:rPr>
        <w:t>。</w:t>
      </w:r>
      <w:r>
        <w:rPr>
          <w:rFonts w:ascii="Times New Roman" w:hAnsi="Times New Roman" w:eastAsia="方正仿宋_GBK" w:cs="Times New Roman"/>
          <w:sz w:val="28"/>
          <w:szCs w:val="28"/>
        </w:rPr>
        <w:t>逾期不再接受报名。</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2.报名方式：在报名期内，请务必将单位名称，投标人员的名字、电话号码在报名截止时间前发送至邮箱dengenhua@jflab.ac.cn。只有在规定时间内发送了报名信息的供应商的响应文件才被接收。</w:t>
      </w:r>
    </w:p>
    <w:p>
      <w:pPr>
        <w:spacing w:line="560" w:lineRule="exact"/>
        <w:ind w:firstLine="560" w:firstLineChars="200"/>
        <w:outlineLvl w:val="1"/>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（五）</w:t>
      </w:r>
      <w:r>
        <w:rPr>
          <w:rFonts w:ascii="Times New Roman" w:hAnsi="Times New Roman" w:eastAsia="方正仿宋_GBK" w:cs="Times New Roman"/>
          <w:color w:val="auto"/>
          <w:sz w:val="28"/>
          <w:szCs w:val="28"/>
        </w:rPr>
        <w:t>提交响应文件时间：比选签到时提交。</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（六）比选开始时间：</w:t>
      </w:r>
      <w:r>
        <w:rPr>
          <w:rFonts w:ascii="Times New Roman" w:hAnsi="Times New Roman" w:eastAsia="方正仿宋_GBK" w:cs="Times New Roman"/>
          <w:color w:val="auto"/>
          <w:sz w:val="28"/>
          <w:szCs w:val="28"/>
        </w:rPr>
        <w:t>2023年</w:t>
      </w:r>
      <w:r>
        <w:rPr>
          <w:rFonts w:hint="eastAsia" w:ascii="Times New Roman" w:hAnsi="Times New Roman" w:eastAsia="方正仿宋_GBK" w:cs="Times New Roman"/>
          <w:color w:val="auto"/>
          <w:sz w:val="28"/>
          <w:szCs w:val="28"/>
          <w:lang w:val="en-US" w:eastAsia="zh-CN"/>
        </w:rPr>
        <w:t>8</w:t>
      </w:r>
      <w:r>
        <w:rPr>
          <w:rFonts w:ascii="Times New Roman" w:hAnsi="Times New Roman" w:eastAsia="方正仿宋_GBK" w:cs="Times New Roman"/>
          <w:color w:val="auto"/>
          <w:sz w:val="28"/>
          <w:szCs w:val="28"/>
        </w:rPr>
        <w:t>月</w:t>
      </w:r>
      <w:r>
        <w:rPr>
          <w:rFonts w:hint="eastAsia" w:ascii="Times New Roman" w:hAnsi="Times New Roman" w:eastAsia="方正仿宋_GBK" w:cs="Times New Roman"/>
          <w:color w:val="auto"/>
          <w:sz w:val="28"/>
          <w:szCs w:val="28"/>
          <w:lang w:val="en-US" w:eastAsia="zh-CN"/>
        </w:rPr>
        <w:t>11</w:t>
      </w:r>
      <w:r>
        <w:rPr>
          <w:rFonts w:ascii="Times New Roman" w:hAnsi="Times New Roman" w:eastAsia="方正仿宋_GBK" w:cs="Times New Roman"/>
          <w:color w:val="auto"/>
          <w:sz w:val="28"/>
          <w:szCs w:val="28"/>
        </w:rPr>
        <w:t>日北京时间</w:t>
      </w:r>
      <w:r>
        <w:rPr>
          <w:rFonts w:hint="eastAsia" w:ascii="Times New Roman" w:hAnsi="Times New Roman" w:eastAsia="方正仿宋_GBK" w:cs="Times New Roman"/>
          <w:color w:val="auto"/>
          <w:sz w:val="28"/>
          <w:szCs w:val="28"/>
          <w:lang w:val="en-US" w:eastAsia="zh-CN"/>
        </w:rPr>
        <w:t>上</w:t>
      </w:r>
      <w:r>
        <w:rPr>
          <w:rFonts w:ascii="Times New Roman" w:hAnsi="Times New Roman" w:eastAsia="方正仿宋_GBK" w:cs="Times New Roman"/>
          <w:color w:val="auto"/>
          <w:sz w:val="28"/>
          <w:szCs w:val="28"/>
        </w:rPr>
        <w:t>午</w:t>
      </w:r>
      <w:r>
        <w:rPr>
          <w:rFonts w:hint="eastAsia" w:ascii="Times New Roman" w:hAnsi="Times New Roman" w:eastAsia="方正仿宋_GBK" w:cs="Times New Roman"/>
          <w:color w:val="auto"/>
          <w:sz w:val="28"/>
          <w:szCs w:val="28"/>
          <w:lang w:val="en-US" w:eastAsia="zh-CN"/>
        </w:rPr>
        <w:t>09</w:t>
      </w:r>
      <w:r>
        <w:rPr>
          <w:rFonts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val="en-US" w:eastAsia="zh-CN"/>
        </w:rPr>
        <w:t>30</w:t>
      </w:r>
      <w:r>
        <w:rPr>
          <w:rFonts w:ascii="Times New Roman" w:hAnsi="Times New Roman" w:eastAsia="方正仿宋_GBK" w:cs="Times New Roman"/>
          <w:color w:val="auto"/>
          <w:sz w:val="28"/>
          <w:szCs w:val="28"/>
        </w:rPr>
        <w:t>。</w:t>
      </w:r>
    </w:p>
    <w:p>
      <w:pPr>
        <w:spacing w:line="560" w:lineRule="exact"/>
        <w:ind w:firstLine="560" w:firstLineChars="200"/>
        <w:rPr>
          <w:rFonts w:ascii="Times New Roman" w:hAnsi="Times New Roman" w:eastAsia="方正仿宋_GBK" w:cs="Times New Roman"/>
          <w:color w:val="FF0000"/>
          <w:sz w:val="28"/>
          <w:szCs w:val="28"/>
        </w:rPr>
      </w:pPr>
      <w:r>
        <w:rPr>
          <w:rFonts w:ascii="Times New Roman" w:hAnsi="Times New Roman" w:eastAsia="方正仿宋_GBK" w:cs="Times New Roman"/>
          <w:sz w:val="28"/>
          <w:szCs w:val="28"/>
        </w:rPr>
        <w:t>（七）比选地点：</w:t>
      </w:r>
      <w:r>
        <w:rPr>
          <w:rFonts w:ascii="Times New Roman" w:hAnsi="Times New Roman" w:eastAsia="方正仿宋_GBK" w:cs="Times New Roman"/>
          <w:color w:val="auto"/>
          <w:sz w:val="28"/>
          <w:szCs w:val="28"/>
        </w:rPr>
        <w:t>重庆高新区金玥路313号金凤实验室</w:t>
      </w:r>
      <w:r>
        <w:rPr>
          <w:rFonts w:hint="eastAsia" w:ascii="Times New Roman" w:hAnsi="Times New Roman" w:eastAsia="方正仿宋_GBK" w:cs="Times New Roman"/>
          <w:color w:val="auto"/>
          <w:sz w:val="28"/>
          <w:szCs w:val="28"/>
          <w:lang w:val="en-US" w:eastAsia="zh-CN"/>
        </w:rPr>
        <w:t>5</w:t>
      </w:r>
      <w:r>
        <w:rPr>
          <w:rFonts w:ascii="Times New Roman" w:hAnsi="Times New Roman" w:eastAsia="方正仿宋_GBK" w:cs="Times New Roman"/>
          <w:color w:val="auto"/>
          <w:sz w:val="28"/>
          <w:szCs w:val="28"/>
        </w:rPr>
        <w:t>号楼</w:t>
      </w:r>
      <w:r>
        <w:rPr>
          <w:rFonts w:hint="eastAsia" w:ascii="Times New Roman" w:hAnsi="Times New Roman" w:eastAsia="方正仿宋_GBK" w:cs="Times New Roman"/>
          <w:color w:val="auto"/>
          <w:sz w:val="28"/>
          <w:szCs w:val="28"/>
          <w:lang w:val="en-US" w:eastAsia="zh-CN"/>
        </w:rPr>
        <w:t>401</w:t>
      </w:r>
      <w:r>
        <w:rPr>
          <w:rFonts w:ascii="Times New Roman" w:hAnsi="Times New Roman" w:eastAsia="方正仿宋_GBK" w:cs="Times New Roman"/>
          <w:color w:val="auto"/>
          <w:sz w:val="28"/>
          <w:szCs w:val="28"/>
        </w:rPr>
        <w:t>会议室。</w:t>
      </w:r>
    </w:p>
    <w:bookmarkEnd w:id="29"/>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30" w:name="_Toc97629501"/>
      <w:bookmarkStart w:id="31" w:name="_Toc31235"/>
      <w:bookmarkStart w:id="32" w:name="_Toc7648"/>
      <w:r>
        <w:rPr>
          <w:rFonts w:ascii="Times New Roman" w:hAnsi="Times New Roman" w:eastAsia="方正黑体_GBK" w:cs="Times New Roman"/>
          <w:kern w:val="0"/>
          <w:sz w:val="28"/>
          <w:szCs w:val="28"/>
        </w:rPr>
        <w:t>五、其它有关规定</w:t>
      </w:r>
      <w:bookmarkEnd w:id="30"/>
      <w:bookmarkEnd w:id="31"/>
      <w:bookmarkEnd w:id="32"/>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（一）法定代表人为同一个人的两个及两个以上法人，母公司、全资子公司及其控股公司，都不得同时参与比选，否则均为无效比选。</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（二）比选费用：无论比选结果如何，供应商参与本项目比选的所有费用均自行承担。</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33" w:name="_Toc32087"/>
      <w:bookmarkStart w:id="34" w:name="_Toc10206"/>
      <w:r>
        <w:rPr>
          <w:rFonts w:ascii="Times New Roman" w:hAnsi="Times New Roman" w:eastAsia="方正黑体_GBK" w:cs="Times New Roman"/>
          <w:kern w:val="0"/>
          <w:sz w:val="28"/>
          <w:szCs w:val="28"/>
        </w:rPr>
        <w:t>六、联系方式</w:t>
      </w:r>
      <w:bookmarkEnd w:id="33"/>
      <w:bookmarkEnd w:id="34"/>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采购人：金凤实验室</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联系人：邓老师</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电  话：19923812674</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地  址：重庆高新区金玥路313号金凤实验室5号楼309办公室</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35" w:name="_Toc97629503"/>
      <w:bookmarkStart w:id="36" w:name="_Toc23510"/>
      <w:bookmarkStart w:id="37" w:name="_Toc7653"/>
      <w:r>
        <w:rPr>
          <w:rFonts w:ascii="Times New Roman" w:hAnsi="Times New Roman" w:eastAsia="方正黑体_GBK" w:cs="Times New Roman"/>
          <w:kern w:val="0"/>
          <w:sz w:val="28"/>
          <w:szCs w:val="28"/>
        </w:rPr>
        <w:t>七、现场踏勘</w:t>
      </w:r>
      <w:bookmarkEnd w:id="35"/>
      <w:bookmarkEnd w:id="36"/>
      <w:bookmarkEnd w:id="37"/>
    </w:p>
    <w:p>
      <w:pPr>
        <w:spacing w:line="560" w:lineRule="exact"/>
        <w:ind w:firstLine="560" w:firstLineChars="200"/>
        <w:rPr>
          <w:rFonts w:ascii="Times New Roman" w:hAnsi="Times New Roman" w:eastAsia="方正仿宋_GBK" w:cs="Times New Roman"/>
          <w:sz w:val="28"/>
          <w:szCs w:val="28"/>
        </w:rPr>
        <w:sectPr>
          <w:headerReference r:id="rId9" w:type="first"/>
          <w:footerReference r:id="rId12" w:type="first"/>
          <w:headerReference r:id="rId8" w:type="default"/>
          <w:footerReference r:id="rId10" w:type="default"/>
          <w:footerReference r:id="rId11" w:type="even"/>
          <w:pgSz w:w="11907" w:h="16840"/>
          <w:pgMar w:top="1134" w:right="1191" w:bottom="1134" w:left="1304" w:header="964" w:footer="992" w:gutter="0"/>
          <w:pgNumType w:fmt="numberInDash"/>
          <w:cols w:space="720" w:num="1"/>
          <w:docGrid w:linePitch="312" w:charSpace="0"/>
        </w:sectPr>
      </w:pPr>
      <w:bookmarkStart w:id="38" w:name="_Toc17097"/>
      <w:bookmarkStart w:id="39" w:name="_Toc9834"/>
      <w:r>
        <w:rPr>
          <w:rFonts w:ascii="Times New Roman" w:hAnsi="Times New Roman" w:eastAsia="方正仿宋_GBK" w:cs="Times New Roman"/>
          <w:sz w:val="28"/>
          <w:szCs w:val="28"/>
        </w:rPr>
        <w:t>如需，按本篇“六、联系方式”联系。</w:t>
      </w:r>
      <w:bookmarkEnd w:id="38"/>
      <w:bookmarkEnd w:id="39"/>
    </w:p>
    <w:p>
      <w:pPr>
        <w:pStyle w:val="4"/>
        <w:spacing w:before="0" w:after="0" w:line="560" w:lineRule="exact"/>
        <w:jc w:val="center"/>
        <w:rPr>
          <w:rFonts w:ascii="Times New Roman" w:hAnsi="Times New Roman" w:cs="Times New Roman"/>
          <w:b w:val="0"/>
          <w:color w:val="000000"/>
          <w:szCs w:val="32"/>
        </w:rPr>
      </w:pPr>
      <w:bookmarkStart w:id="40" w:name="_Toc14837"/>
      <w:bookmarkStart w:id="41" w:name="_Toc12789058"/>
      <w:r>
        <w:rPr>
          <w:rFonts w:ascii="Times New Roman" w:hAnsi="Times New Roman" w:eastAsia="方正小标宋_GBK" w:cs="Times New Roman"/>
          <w:b w:val="0"/>
          <w:bCs/>
          <w:sz w:val="36"/>
          <w:szCs w:val="30"/>
        </w:rPr>
        <w:t xml:space="preserve"> </w:t>
      </w:r>
      <w:bookmarkStart w:id="42" w:name="_Toc28136"/>
      <w:bookmarkStart w:id="43" w:name="_Toc20681"/>
      <w:r>
        <w:rPr>
          <w:rFonts w:ascii="Times New Roman" w:hAnsi="Times New Roman" w:cs="Times New Roman"/>
          <w:b w:val="0"/>
          <w:color w:val="000000"/>
          <w:szCs w:val="32"/>
        </w:rPr>
        <w:t>第二篇 比选项目服务需求</w:t>
      </w:r>
      <w:bookmarkEnd w:id="40"/>
      <w:bookmarkEnd w:id="42"/>
      <w:bookmarkEnd w:id="43"/>
    </w:p>
    <w:p>
      <w:pPr>
        <w:snapToGrid w:val="0"/>
        <w:spacing w:line="560" w:lineRule="exact"/>
        <w:ind w:firstLine="560" w:firstLineChars="200"/>
        <w:rPr>
          <w:rFonts w:ascii="Times New Roman" w:hAnsi="Times New Roman" w:eastAsia="方正黑体_GBK" w:cs="Times New Roman"/>
          <w:kern w:val="0"/>
          <w:sz w:val="28"/>
          <w:szCs w:val="28"/>
        </w:rPr>
      </w:pPr>
      <w:bookmarkStart w:id="44" w:name="_Toc22236"/>
      <w:r>
        <w:rPr>
          <w:rFonts w:ascii="Times New Roman" w:hAnsi="Times New Roman" w:eastAsia="方正黑体_GBK" w:cs="Times New Roman"/>
          <w:kern w:val="0"/>
          <w:sz w:val="28"/>
          <w:szCs w:val="28"/>
        </w:rPr>
        <w:t>一、项目概况</w:t>
      </w:r>
      <w:bookmarkEnd w:id="44"/>
    </w:p>
    <w:tbl>
      <w:tblPr>
        <w:tblStyle w:val="13"/>
        <w:tblW w:w="9795" w:type="dxa"/>
        <w:tblInd w:w="-73" w:type="dxa"/>
        <w:tblLayout w:type="autofit"/>
        <w:tblCellMar>
          <w:top w:w="0" w:type="dxa"/>
          <w:left w:w="108" w:type="dxa"/>
          <w:bottom w:w="0" w:type="dxa"/>
          <w:right w:w="108" w:type="dxa"/>
        </w:tblCellMar>
      </w:tblPr>
      <w:tblGrid>
        <w:gridCol w:w="1380"/>
        <w:gridCol w:w="1605"/>
        <w:gridCol w:w="6810"/>
      </w:tblGrid>
      <w:tr>
        <w:tblPrEx>
          <w:tblCellMar>
            <w:top w:w="0" w:type="dxa"/>
            <w:left w:w="108" w:type="dxa"/>
            <w:bottom w:w="0" w:type="dxa"/>
            <w:right w:w="108" w:type="dxa"/>
          </w:tblCellMar>
        </w:tblPrEx>
        <w:trPr>
          <w:trHeight w:val="534" w:hRule="atLeast"/>
        </w:trPr>
        <w:tc>
          <w:tcPr>
            <w:tcW w:w="138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rPr>
              <w:t>项目名称</w:t>
            </w:r>
          </w:p>
        </w:tc>
        <w:tc>
          <w:tcPr>
            <w:tcW w:w="16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rPr>
              <w:t>分项</w:t>
            </w:r>
          </w:p>
        </w:tc>
        <w:tc>
          <w:tcPr>
            <w:tcW w:w="681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rPr>
              <w:t>服务明细</w:t>
            </w:r>
          </w:p>
        </w:tc>
      </w:tr>
      <w:tr>
        <w:tblPrEx>
          <w:tblCellMar>
            <w:top w:w="0" w:type="dxa"/>
            <w:left w:w="108" w:type="dxa"/>
            <w:bottom w:w="0" w:type="dxa"/>
            <w:right w:w="108" w:type="dxa"/>
          </w:tblCellMar>
        </w:tblPrEx>
        <w:trPr>
          <w:trHeight w:val="502" w:hRule="atLeast"/>
        </w:trPr>
        <w:tc>
          <w:tcPr>
            <w:tcW w:w="1380" w:type="dxa"/>
            <w:vMerge w:val="restart"/>
            <w:tcBorders>
              <w:top w:val="nil"/>
              <w:left w:val="single" w:color="000000" w:sz="8" w:space="0"/>
              <w:right w:val="single" w:color="000000" w:sz="8" w:space="0"/>
            </w:tcBorders>
            <w:vAlign w:val="center"/>
          </w:tcPr>
          <w:p>
            <w:pPr>
              <w:widowControl/>
              <w:jc w:val="left"/>
              <w:textAlignment w:val="center"/>
              <w:rPr>
                <w:rFonts w:ascii="Times New Roman" w:hAnsi="Times New Roman" w:eastAsia="宋体" w:cs="Times New Roman"/>
                <w:color w:val="000000"/>
                <w:kern w:val="0"/>
                <w:sz w:val="22"/>
              </w:rPr>
            </w:pPr>
            <w:r>
              <w:rPr>
                <w:rFonts w:ascii="Times New Roman" w:hAnsi="Times New Roman" w:eastAsia="方正仿宋_GBK" w:cs="Times New Roman"/>
                <w:szCs w:val="21"/>
                <w:lang w:bidi="ne-NP"/>
              </w:rPr>
              <w:t>第三方安全服务公司服务内容</w:t>
            </w: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安全管理制度</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建立健全安全管理制度，形成完整管理体系，并随落实执行情况进行完善和改进。</w:t>
            </w:r>
          </w:p>
        </w:tc>
      </w:tr>
      <w:tr>
        <w:tblPrEx>
          <w:tblCellMar>
            <w:top w:w="0" w:type="dxa"/>
            <w:left w:w="108" w:type="dxa"/>
            <w:bottom w:w="0" w:type="dxa"/>
            <w:right w:w="108" w:type="dxa"/>
          </w:tblCellMar>
        </w:tblPrEx>
        <w:trPr>
          <w:trHeight w:val="755"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标识标牌及安全硬件设施</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对标识标牌及安全硬件设施进行检查，提供整改方案并协助完善。</w:t>
            </w:r>
          </w:p>
        </w:tc>
      </w:tr>
      <w:tr>
        <w:tblPrEx>
          <w:tblCellMar>
            <w:top w:w="0" w:type="dxa"/>
            <w:left w:w="108" w:type="dxa"/>
            <w:bottom w:w="0" w:type="dxa"/>
            <w:right w:w="108" w:type="dxa"/>
          </w:tblCellMar>
        </w:tblPrEx>
        <w:trPr>
          <w:trHeight w:val="755"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危化品库房整改</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对金凤实验室危化品库房提出整改方案，协助通过相关验收。</w:t>
            </w:r>
          </w:p>
        </w:tc>
      </w:tr>
      <w:tr>
        <w:tblPrEx>
          <w:tblCellMar>
            <w:top w:w="0" w:type="dxa"/>
            <w:left w:w="108" w:type="dxa"/>
            <w:bottom w:w="0" w:type="dxa"/>
            <w:right w:w="108" w:type="dxa"/>
          </w:tblCellMar>
        </w:tblPrEx>
        <w:trPr>
          <w:trHeight w:val="457"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安全相关档案管理</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完善安全管理档案，包括：安全协议、安全目标责任、领导履职、安全培训、安全会议、安全检查、安全整改、隐患排查、隐患治理、应急演练等资料。</w:t>
            </w:r>
          </w:p>
        </w:tc>
      </w:tr>
      <w:tr>
        <w:tblPrEx>
          <w:tblCellMar>
            <w:top w:w="0" w:type="dxa"/>
            <w:left w:w="108" w:type="dxa"/>
            <w:bottom w:w="0" w:type="dxa"/>
            <w:right w:w="108" w:type="dxa"/>
          </w:tblCellMar>
        </w:tblPrEx>
        <w:trPr>
          <w:trHeight w:val="487"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应急预案</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编制、评审及备案生产安全事故应急预案、突发环境事件应急预案和生物安全应急预案，随实际情况变动进行修改、论证及备案。</w:t>
            </w:r>
          </w:p>
        </w:tc>
      </w:tr>
      <w:tr>
        <w:tblPrEx>
          <w:tblCellMar>
            <w:top w:w="0" w:type="dxa"/>
            <w:left w:w="108" w:type="dxa"/>
            <w:bottom w:w="0" w:type="dxa"/>
            <w:right w:w="108" w:type="dxa"/>
          </w:tblCellMar>
        </w:tblPrEx>
        <w:trPr>
          <w:trHeight w:val="577"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应急演练</w:t>
            </w:r>
          </w:p>
        </w:tc>
        <w:tc>
          <w:tcPr>
            <w:tcW w:w="6810" w:type="dxa"/>
            <w:tcBorders>
              <w:top w:val="nil"/>
              <w:left w:val="single" w:color="000000" w:sz="8" w:space="0"/>
              <w:bottom w:val="single" w:color="000000" w:sz="8"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按照相关规定和实验室预案，协助开展应急演练。</w:t>
            </w:r>
          </w:p>
        </w:tc>
      </w:tr>
      <w:tr>
        <w:tblPrEx>
          <w:tblCellMar>
            <w:top w:w="0" w:type="dxa"/>
            <w:left w:w="108" w:type="dxa"/>
            <w:bottom w:w="0" w:type="dxa"/>
            <w:right w:w="108" w:type="dxa"/>
          </w:tblCellMar>
        </w:tblPrEx>
        <w:trPr>
          <w:trHeight w:val="539"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nil"/>
              <w:left w:val="single" w:color="000000" w:sz="8" w:space="0"/>
              <w:bottom w:val="single" w:color="auto" w:sz="4"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安全培训</w:t>
            </w:r>
          </w:p>
        </w:tc>
        <w:tc>
          <w:tcPr>
            <w:tcW w:w="6810" w:type="dxa"/>
            <w:tcBorders>
              <w:top w:val="nil"/>
              <w:left w:val="single" w:color="000000" w:sz="8" w:space="0"/>
              <w:bottom w:val="single" w:color="auto" w:sz="4" w:space="0"/>
              <w:right w:val="single" w:color="000000" w:sz="8"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每年派出相关专业培训专家对实验室人员定期开展线上、线下培训，做到全覆盖。</w:t>
            </w:r>
          </w:p>
        </w:tc>
      </w:tr>
      <w:tr>
        <w:tblPrEx>
          <w:tblCellMar>
            <w:top w:w="0" w:type="dxa"/>
            <w:left w:w="108" w:type="dxa"/>
            <w:bottom w:w="0" w:type="dxa"/>
            <w:right w:w="108" w:type="dxa"/>
          </w:tblCellMar>
        </w:tblPrEx>
        <w:trPr>
          <w:trHeight w:val="779"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风险辨识与分级管控</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确定实验室危险源风险类别及等级，制定相应管控措施。</w:t>
            </w:r>
          </w:p>
        </w:tc>
      </w:tr>
      <w:tr>
        <w:tblPrEx>
          <w:tblCellMar>
            <w:top w:w="0" w:type="dxa"/>
            <w:left w:w="108" w:type="dxa"/>
            <w:bottom w:w="0" w:type="dxa"/>
            <w:right w:w="108" w:type="dxa"/>
          </w:tblCellMar>
        </w:tblPrEx>
        <w:trPr>
          <w:trHeight w:val="1183"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隐患排查和治理</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派遣具有相关行业背景、具备丰富安全生产监督管理经验且有相应从业资格证书的工程师，对金凤实验现场隐患进行全面排查，针对隐患提出防控措施、整改方案和工作建议，出具隐患排查建议书，协助治理。</w:t>
            </w:r>
          </w:p>
        </w:tc>
      </w:tr>
      <w:tr>
        <w:tblPrEx>
          <w:tblCellMar>
            <w:top w:w="0" w:type="dxa"/>
            <w:left w:w="108" w:type="dxa"/>
            <w:bottom w:w="0" w:type="dxa"/>
            <w:right w:w="108" w:type="dxa"/>
          </w:tblCellMar>
        </w:tblPrEx>
        <w:trPr>
          <w:trHeight w:val="1037" w:hRule="atLeast"/>
        </w:trPr>
        <w:tc>
          <w:tcPr>
            <w:tcW w:w="1380" w:type="dxa"/>
            <w:vMerge w:val="continue"/>
            <w:tcBorders>
              <w:left w:val="single" w:color="000000" w:sz="8"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安全检查整改</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针对政府及上级单位对实验室提出的整改事项，派出相应专业的技术人员到现场或线上与实验室沟通，提出专业意见和建议，协助制定整改方案。</w:t>
            </w:r>
          </w:p>
        </w:tc>
      </w:tr>
      <w:tr>
        <w:tblPrEx>
          <w:tblCellMar>
            <w:top w:w="0" w:type="dxa"/>
            <w:left w:w="108" w:type="dxa"/>
            <w:bottom w:w="0" w:type="dxa"/>
            <w:right w:w="108" w:type="dxa"/>
          </w:tblCellMar>
        </w:tblPrEx>
        <w:trPr>
          <w:trHeight w:val="627" w:hRule="atLeast"/>
        </w:trPr>
        <w:tc>
          <w:tcPr>
            <w:tcW w:w="1380" w:type="dxa"/>
            <w:vMerge w:val="continue"/>
            <w:tcBorders>
              <w:left w:val="single" w:color="000000" w:sz="8" w:space="0"/>
              <w:bottom w:val="single" w:color="auto" w:sz="4" w:space="0"/>
              <w:right w:val="single" w:color="000000" w:sz="8" w:space="0"/>
            </w:tcBorders>
            <w:vAlign w:val="center"/>
          </w:tcPr>
          <w:p>
            <w:pPr>
              <w:widowControl/>
              <w:jc w:val="left"/>
              <w:textAlignment w:val="center"/>
              <w:rPr>
                <w:rFonts w:ascii="Times New Roman" w:hAnsi="Times New Roman" w:cs="Times New Roman"/>
                <w:color w:val="000000"/>
                <w:kern w:val="0"/>
                <w:sz w:val="22"/>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宣传册</w:t>
            </w:r>
          </w:p>
        </w:tc>
        <w:tc>
          <w:tcPr>
            <w:tcW w:w="68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根据相关制度及实验室安全风险制定安全宣传手册内容。</w:t>
            </w:r>
          </w:p>
        </w:tc>
      </w:tr>
    </w:tbl>
    <w:p>
      <w:pPr>
        <w:snapToGrid w:val="0"/>
        <w:spacing w:line="560" w:lineRule="exact"/>
        <w:ind w:firstLine="560" w:firstLineChars="200"/>
        <w:rPr>
          <w:rFonts w:ascii="Times New Roman" w:hAnsi="Times New Roman" w:eastAsia="方正黑体_GBK" w:cs="Times New Roman"/>
          <w:kern w:val="0"/>
          <w:sz w:val="28"/>
          <w:szCs w:val="28"/>
        </w:rPr>
      </w:pPr>
      <w:bookmarkStart w:id="45" w:name="_Toc30203"/>
      <w:r>
        <w:rPr>
          <w:rFonts w:ascii="Times New Roman" w:hAnsi="Times New Roman" w:eastAsia="方正黑体_GBK" w:cs="Times New Roman"/>
          <w:kern w:val="0"/>
          <w:sz w:val="28"/>
          <w:szCs w:val="28"/>
        </w:rPr>
        <w:t>二、项目技术服务数量及频次</w:t>
      </w:r>
      <w:bookmarkEnd w:id="45"/>
    </w:p>
    <w:tbl>
      <w:tblPr>
        <w:tblStyle w:val="14"/>
        <w:tblW w:w="97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192"/>
        <w:gridCol w:w="1140"/>
        <w:gridCol w:w="912"/>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 w:type="dxa"/>
          </w:tcPr>
          <w:p>
            <w:pPr>
              <w:pStyle w:val="12"/>
              <w:adjustRightInd w:val="0"/>
              <w:snapToGrid w:val="0"/>
              <w:spacing w:beforeLines="25"/>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3192" w:type="dxa"/>
          </w:tcPr>
          <w:p>
            <w:pPr>
              <w:pStyle w:val="12"/>
              <w:adjustRightInd w:val="0"/>
              <w:snapToGrid w:val="0"/>
              <w:spacing w:beforeLines="25"/>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服务项目</w:t>
            </w:r>
          </w:p>
        </w:tc>
        <w:tc>
          <w:tcPr>
            <w:tcW w:w="1140" w:type="dxa"/>
          </w:tcPr>
          <w:p>
            <w:pPr>
              <w:pStyle w:val="12"/>
              <w:adjustRightInd w:val="0"/>
              <w:snapToGrid w:val="0"/>
              <w:spacing w:beforeLines="25"/>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单位</w:t>
            </w:r>
          </w:p>
        </w:tc>
        <w:tc>
          <w:tcPr>
            <w:tcW w:w="912" w:type="dxa"/>
          </w:tcPr>
          <w:p>
            <w:pPr>
              <w:pStyle w:val="12"/>
              <w:adjustRightInd w:val="0"/>
              <w:snapToGrid w:val="0"/>
              <w:spacing w:beforeLines="25"/>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数量</w:t>
            </w:r>
          </w:p>
        </w:tc>
        <w:tc>
          <w:tcPr>
            <w:tcW w:w="3565" w:type="dxa"/>
          </w:tcPr>
          <w:p>
            <w:pPr>
              <w:pStyle w:val="12"/>
              <w:adjustRightInd w:val="0"/>
              <w:snapToGrid w:val="0"/>
              <w:spacing w:beforeLines="25"/>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安全管理制度</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宋体" w:cs="Times New Roman"/>
                <w:color w:val="000000"/>
                <w:sz w:val="21"/>
                <w:szCs w:val="21"/>
              </w:rPr>
            </w:pPr>
            <w:r>
              <w:rPr>
                <w:rFonts w:hint="default" w:ascii="Times New Roman" w:hAnsi="Times New Roman" w:eastAsia="方正黑体_GBK" w:cs="Times New Roman"/>
                <w:sz w:val="21"/>
                <w:szCs w:val="21"/>
              </w:rPr>
              <w:t>2</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标识标牌、硬件设施检查</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危化品库房整改</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3192" w:type="dxa"/>
          </w:tcPr>
          <w:p>
            <w:pPr>
              <w:pStyle w:val="12"/>
              <w:adjustRightInd w:val="0"/>
              <w:snapToGrid w:val="0"/>
              <w:spacing w:beforeLines="25"/>
              <w:jc w:val="center"/>
              <w:rPr>
                <w:rFonts w:hint="eastAsia" w:ascii="Times New Roman" w:hAnsi="Times New Roman" w:eastAsia="方正仿宋_GBK" w:cs="Times New Roman"/>
                <w:kern w:val="2"/>
                <w:sz w:val="21"/>
                <w:szCs w:val="21"/>
                <w:lang w:val="en-US" w:eastAsia="zh-CN" w:bidi="ne-NP"/>
              </w:rPr>
            </w:pPr>
            <w:r>
              <w:rPr>
                <w:rFonts w:hint="default" w:ascii="Times New Roman" w:hAnsi="Times New Roman" w:eastAsia="方正仿宋_GBK" w:cs="Times New Roman"/>
                <w:kern w:val="2"/>
                <w:sz w:val="21"/>
                <w:szCs w:val="21"/>
                <w:lang w:bidi="ne-NP"/>
              </w:rPr>
              <w:t>安全管理</w:t>
            </w:r>
            <w:r>
              <w:rPr>
                <w:rFonts w:hint="eastAsia" w:ascii="Times New Roman" w:hAnsi="Times New Roman" w:eastAsia="方正仿宋_GBK" w:cs="Times New Roman"/>
                <w:kern w:val="2"/>
                <w:sz w:val="21"/>
                <w:szCs w:val="21"/>
                <w:lang w:val="en-US" w:eastAsia="zh-CN" w:bidi="ne-NP"/>
              </w:rPr>
              <w:t>档案</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5</w:t>
            </w:r>
          </w:p>
        </w:tc>
        <w:tc>
          <w:tcPr>
            <w:tcW w:w="3192" w:type="dxa"/>
            <w:vAlign w:val="center"/>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生产安全事故应急预案</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6</w:t>
            </w:r>
          </w:p>
        </w:tc>
        <w:tc>
          <w:tcPr>
            <w:tcW w:w="3192" w:type="dxa"/>
            <w:vAlign w:val="center"/>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突发环境事件应急预案</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7</w:t>
            </w:r>
          </w:p>
        </w:tc>
        <w:tc>
          <w:tcPr>
            <w:tcW w:w="3192" w:type="dxa"/>
            <w:vAlign w:val="center"/>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生物安全应急预案</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8</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生产安全事故应急演练</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根据《生产安全事故应急预案管理办法》第三十三条执行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9</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生物安全事故应急演练</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10</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突发环境事件应急演练</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11</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线上或线下安全培训</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仿宋_GBK" w:cs="Times New Roman"/>
                <w:color w:val="000000"/>
                <w:sz w:val="21"/>
                <w:szCs w:val="21"/>
              </w:rPr>
            </w:pPr>
            <w:r>
              <w:rPr>
                <w:rFonts w:hint="default" w:ascii="Times New Roman" w:hAnsi="Times New Roman" w:eastAsia="方正黑体_GBK" w:cs="Times New Roman"/>
                <w:sz w:val="21"/>
                <w:szCs w:val="21"/>
              </w:rPr>
              <w:t>4</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实验室人员全覆盖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12</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风险辨识与分级管控</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13</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隐患排查与治理</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14</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安全检查整改</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3565" w:type="dxa"/>
          </w:tcPr>
          <w:p>
            <w:pPr>
              <w:pStyle w:val="12"/>
              <w:adjustRightInd w:val="0"/>
              <w:snapToGrid w:val="0"/>
              <w:spacing w:beforeLines="25"/>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具体频次视实际情况决定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15</w:t>
            </w:r>
          </w:p>
        </w:tc>
        <w:tc>
          <w:tcPr>
            <w:tcW w:w="3192"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宣传册内容</w:t>
            </w:r>
          </w:p>
        </w:tc>
        <w:tc>
          <w:tcPr>
            <w:tcW w:w="1140"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912"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3565" w:type="dxa"/>
          </w:tcPr>
          <w:p>
            <w:pPr>
              <w:pStyle w:val="12"/>
              <w:adjustRightInd w:val="0"/>
              <w:snapToGrid w:val="0"/>
              <w:spacing w:beforeLines="25"/>
              <w:rPr>
                <w:rFonts w:hint="default" w:ascii="Times New Roman" w:hAnsi="Times New Roman" w:eastAsia="方正仿宋_GBK" w:cs="Times New Roman"/>
                <w:color w:val="000000"/>
              </w:rPr>
            </w:pPr>
          </w:p>
        </w:tc>
      </w:tr>
    </w:tbl>
    <w:p>
      <w:pPr>
        <w:pStyle w:val="4"/>
        <w:spacing w:before="0" w:after="0" w:line="560" w:lineRule="exact"/>
        <w:jc w:val="center"/>
        <w:rPr>
          <w:rFonts w:ascii="Times New Roman" w:hAnsi="Times New Roman" w:cs="Times New Roman"/>
          <w:b w:val="0"/>
          <w:color w:val="000000"/>
          <w:szCs w:val="32"/>
        </w:rPr>
      </w:pPr>
      <w:bookmarkStart w:id="46" w:name="_Toc32732"/>
    </w:p>
    <w:p>
      <w:pPr>
        <w:pStyle w:val="4"/>
        <w:spacing w:before="0" w:after="0" w:line="560" w:lineRule="exact"/>
        <w:jc w:val="center"/>
        <w:rPr>
          <w:rFonts w:ascii="Times New Roman" w:hAnsi="Times New Roman" w:cs="Times New Roman"/>
          <w:b w:val="0"/>
          <w:color w:val="000000"/>
          <w:szCs w:val="32"/>
        </w:rPr>
      </w:pPr>
      <w:bookmarkStart w:id="47" w:name="_Toc27472"/>
      <w:r>
        <w:rPr>
          <w:rFonts w:ascii="Times New Roman" w:hAnsi="Times New Roman" w:cs="Times New Roman"/>
          <w:b w:val="0"/>
          <w:color w:val="000000"/>
          <w:szCs w:val="32"/>
        </w:rPr>
        <w:t xml:space="preserve">第三篇 </w:t>
      </w:r>
      <w:bookmarkEnd w:id="41"/>
      <w:r>
        <w:rPr>
          <w:rFonts w:ascii="Times New Roman" w:hAnsi="Times New Roman" w:cs="Times New Roman"/>
          <w:b w:val="0"/>
          <w:color w:val="000000"/>
          <w:szCs w:val="32"/>
        </w:rPr>
        <w:t>比选项目商务需求</w:t>
      </w:r>
      <w:bookmarkEnd w:id="46"/>
      <w:bookmarkEnd w:id="47"/>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48" w:name="_Toc27591"/>
      <w:bookmarkStart w:id="49" w:name="_Toc344475120"/>
      <w:bookmarkStart w:id="50" w:name="_Toc38288922"/>
      <w:bookmarkStart w:id="51" w:name="_Toc3311"/>
      <w:r>
        <w:rPr>
          <w:rFonts w:ascii="Times New Roman" w:hAnsi="Times New Roman" w:eastAsia="方正黑体_GBK" w:cs="Times New Roman"/>
          <w:kern w:val="0"/>
          <w:sz w:val="28"/>
          <w:szCs w:val="28"/>
        </w:rPr>
        <w:t>一、服务时间、地点及验收方式</w:t>
      </w:r>
      <w:bookmarkEnd w:id="48"/>
      <w:bookmarkEnd w:id="49"/>
      <w:bookmarkEnd w:id="50"/>
      <w:bookmarkEnd w:id="51"/>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（一）服务时间：合同签订起一年内，其中安全管理制度及资料体系在三个月内完成。</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（二）服务地点：金凤实验室，采购人指定地点。</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（三）验收方式：服务完成且资料闭合后综合验收。</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52" w:name="_Toc344475121"/>
      <w:bookmarkStart w:id="53" w:name="_Toc1086"/>
      <w:bookmarkStart w:id="54" w:name="_Toc1453"/>
      <w:r>
        <w:rPr>
          <w:rFonts w:ascii="Times New Roman" w:hAnsi="Times New Roman" w:eastAsia="方正黑体_GBK" w:cs="Times New Roman"/>
          <w:kern w:val="0"/>
          <w:sz w:val="28"/>
          <w:szCs w:val="28"/>
        </w:rPr>
        <w:t>二、</w:t>
      </w:r>
      <w:bookmarkEnd w:id="52"/>
      <w:r>
        <w:rPr>
          <w:rFonts w:ascii="Times New Roman" w:hAnsi="Times New Roman" w:eastAsia="方正黑体_GBK" w:cs="Times New Roman"/>
          <w:kern w:val="0"/>
          <w:sz w:val="28"/>
          <w:szCs w:val="28"/>
        </w:rPr>
        <w:t>报价要求</w:t>
      </w:r>
      <w:bookmarkEnd w:id="53"/>
      <w:bookmarkEnd w:id="54"/>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本项目报价为包干价（含一切费用），分为人民币分项报价及总价。</w:t>
      </w:r>
      <w:bookmarkStart w:id="55" w:name="_Toc38288924"/>
      <w:r>
        <w:rPr>
          <w:rFonts w:ascii="Times New Roman" w:hAnsi="Times New Roman" w:eastAsia="方正仿宋_GBK" w:cs="Times New Roman"/>
          <w:sz w:val="28"/>
          <w:szCs w:val="28"/>
        </w:rPr>
        <w:t>中标后，采购人不得以任何理由追加任何费用，若中标人因费用问题拖延服务时间或未按服务要求执行，皆视为违约，采购人有权中止合同，并拒绝支付所有服务费用。</w:t>
      </w:r>
    </w:p>
    <w:bookmarkEnd w:id="55"/>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56" w:name="_Toc14994"/>
      <w:bookmarkStart w:id="57" w:name="_Toc968"/>
      <w:bookmarkStart w:id="58" w:name="_Toc344475122"/>
      <w:r>
        <w:rPr>
          <w:rFonts w:ascii="Times New Roman" w:hAnsi="Times New Roman" w:eastAsia="方正黑体_GBK" w:cs="Times New Roman"/>
          <w:kern w:val="0"/>
          <w:sz w:val="28"/>
          <w:szCs w:val="28"/>
        </w:rPr>
        <w:t>三、付款方式</w:t>
      </w:r>
      <w:bookmarkEnd w:id="56"/>
      <w:bookmarkEnd w:id="57"/>
      <w:bookmarkEnd w:id="58"/>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（一）采购人与中标供应商签订服务合同后，服务费用每半年按服务完成情况据实结算1次。</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（二）因服务不善造成采购人财产和经济损失的，采购人在书面通知中标供应商后，有权从应付款中扣除相关损失的费用。</w:t>
      </w:r>
    </w:p>
    <w:p>
      <w:pPr>
        <w:spacing w:line="560" w:lineRule="exact"/>
        <w:ind w:firstLine="560" w:firstLineChars="200"/>
        <w:outlineLvl w:val="0"/>
        <w:rPr>
          <w:rFonts w:ascii="Times New Roman" w:hAnsi="Times New Roman" w:eastAsia="方正黑体_GBK" w:cs="Times New Roman"/>
          <w:kern w:val="0"/>
          <w:sz w:val="28"/>
          <w:szCs w:val="28"/>
        </w:rPr>
      </w:pPr>
      <w:bookmarkStart w:id="59" w:name="_Toc4298"/>
      <w:bookmarkStart w:id="60" w:name="_Toc3330"/>
      <w:r>
        <w:rPr>
          <w:rFonts w:ascii="Times New Roman" w:hAnsi="Times New Roman" w:eastAsia="方正黑体_GBK" w:cs="Times New Roman"/>
          <w:kern w:val="0"/>
          <w:sz w:val="28"/>
          <w:szCs w:val="28"/>
        </w:rPr>
        <w:t>四、</w:t>
      </w:r>
      <w:bookmarkEnd w:id="59"/>
      <w:bookmarkStart w:id="61" w:name="_Toc344475123"/>
      <w:bookmarkStart w:id="62" w:name="_Toc3581"/>
      <w:r>
        <w:rPr>
          <w:rFonts w:ascii="Times New Roman" w:hAnsi="Times New Roman" w:eastAsia="方正黑体_GBK" w:cs="Times New Roman"/>
          <w:kern w:val="0"/>
          <w:sz w:val="28"/>
          <w:szCs w:val="28"/>
        </w:rPr>
        <w:t>知识产权</w:t>
      </w:r>
      <w:bookmarkEnd w:id="60"/>
      <w:bookmarkEnd w:id="61"/>
      <w:bookmarkEnd w:id="62"/>
    </w:p>
    <w:p>
      <w:pPr>
        <w:snapToGrid w:val="0"/>
        <w:spacing w:line="560" w:lineRule="exact"/>
        <w:ind w:firstLine="540"/>
        <w:rPr>
          <w:rFonts w:ascii="Times New Roman" w:hAnsi="Times New Roman" w:eastAsia="方正仿宋_GBK" w:cs="Times New Roman"/>
          <w:szCs w:val="28"/>
        </w:rPr>
      </w:pPr>
      <w:r>
        <w:rPr>
          <w:rFonts w:ascii="Times New Roman" w:hAnsi="Times New Roman" w:eastAsia="方正仿宋_GBK" w:cs="Times New Roman"/>
          <w:sz w:val="28"/>
          <w:szCs w:val="28"/>
        </w:rPr>
        <w:t>采购人在中华人民共和国境内使用中标供应商提供的服务时免受第三方提出的侵犯其专利权或其它知识产权的起诉。如果第三方提出侵权指控，中标供应商应承担由此而引起的一切法律责任和费用。</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63" w:name="_Toc29160"/>
      <w:bookmarkStart w:id="64" w:name="_Toc82880037"/>
      <w:bookmarkStart w:id="65" w:name="_Toc13762"/>
      <w:r>
        <w:rPr>
          <w:rFonts w:ascii="Times New Roman" w:hAnsi="Times New Roman" w:eastAsia="方正黑体_GBK" w:cs="Times New Roman"/>
          <w:kern w:val="0"/>
          <w:sz w:val="28"/>
          <w:szCs w:val="28"/>
        </w:rPr>
        <w:t>五、</w:t>
      </w:r>
      <w:bookmarkStart w:id="66" w:name="_Toc344475125"/>
      <w:r>
        <w:rPr>
          <w:rFonts w:ascii="Times New Roman" w:hAnsi="Times New Roman" w:eastAsia="方正黑体_GBK" w:cs="Times New Roman"/>
          <w:kern w:val="0"/>
          <w:sz w:val="28"/>
          <w:szCs w:val="28"/>
        </w:rPr>
        <w:t>其他</w:t>
      </w:r>
      <w:bookmarkEnd w:id="63"/>
      <w:bookmarkEnd w:id="64"/>
      <w:bookmarkEnd w:id="65"/>
      <w:bookmarkEnd w:id="66"/>
    </w:p>
    <w:p>
      <w:pPr>
        <w:snapToGrid w:val="0"/>
        <w:spacing w:line="560" w:lineRule="exact"/>
        <w:ind w:firstLine="540"/>
        <w:rPr>
          <w:rFonts w:ascii="Times New Roman" w:hAnsi="Times New Roman" w:eastAsia="方正仿宋_GBK" w:cs="Times New Roman"/>
          <w:sz w:val="28"/>
          <w:szCs w:val="28"/>
        </w:rPr>
      </w:pPr>
      <w:r>
        <w:rPr>
          <w:rFonts w:ascii="Times New Roman" w:hAnsi="Times New Roman" w:eastAsia="方正仿宋_GBK" w:cs="Times New Roman"/>
          <w:sz w:val="28"/>
          <w:szCs w:val="28"/>
        </w:rPr>
        <w:t>（一）本项目实施过程中，所有安全责任及损失全部由中标单位负责。</w:t>
      </w:r>
    </w:p>
    <w:p>
      <w:pPr>
        <w:snapToGrid w:val="0"/>
        <w:spacing w:line="560" w:lineRule="exact"/>
        <w:ind w:firstLine="540"/>
        <w:outlineLvl w:val="1"/>
        <w:rPr>
          <w:rFonts w:ascii="Times New Roman" w:hAnsi="Times New Roman" w:eastAsia="方正仿宋_GBK" w:cs="Times New Roman"/>
          <w:sz w:val="28"/>
          <w:szCs w:val="28"/>
        </w:rPr>
      </w:pPr>
      <w:bookmarkStart w:id="67" w:name="_Toc21801"/>
      <w:bookmarkStart w:id="68" w:name="_Toc24550"/>
      <w:r>
        <w:rPr>
          <w:rFonts w:ascii="Times New Roman" w:hAnsi="Times New Roman" w:eastAsia="方正仿宋_GBK" w:cs="Times New Roman"/>
          <w:sz w:val="28"/>
          <w:szCs w:val="28"/>
        </w:rPr>
        <w:t>（二）其他未尽事宜由供需双方在服务合同中详细约定。</w:t>
      </w:r>
      <w:bookmarkEnd w:id="67"/>
      <w:bookmarkEnd w:id="68"/>
    </w:p>
    <w:p>
      <w:pPr>
        <w:snapToGrid w:val="0"/>
        <w:spacing w:line="560" w:lineRule="exact"/>
        <w:ind w:firstLine="540"/>
        <w:rPr>
          <w:rFonts w:ascii="Times New Roman" w:hAnsi="Times New Roman" w:eastAsia="方正仿宋_GBK" w:cs="Times New Roman"/>
          <w:sz w:val="28"/>
          <w:szCs w:val="28"/>
        </w:rPr>
      </w:pPr>
    </w:p>
    <w:p>
      <w:pPr>
        <w:pStyle w:val="4"/>
        <w:spacing w:before="0" w:after="0" w:line="560" w:lineRule="exact"/>
        <w:jc w:val="center"/>
        <w:rPr>
          <w:rFonts w:ascii="Times New Roman" w:hAnsi="Times New Roman" w:cs="Times New Roman"/>
          <w:b w:val="0"/>
          <w:color w:val="000000"/>
          <w:szCs w:val="32"/>
        </w:rPr>
      </w:pPr>
      <w:bookmarkStart w:id="69" w:name="_Toc17286"/>
      <w:bookmarkStart w:id="70" w:name="_Toc9354"/>
      <w:r>
        <w:rPr>
          <w:rFonts w:ascii="Times New Roman" w:hAnsi="Times New Roman" w:cs="Times New Roman"/>
          <w:b w:val="0"/>
          <w:color w:val="000000"/>
          <w:szCs w:val="32"/>
        </w:rPr>
        <w:t>第四篇  比选程序及方法、评审标准、无效响应和采购终止</w:t>
      </w:r>
      <w:bookmarkEnd w:id="69"/>
      <w:bookmarkEnd w:id="70"/>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71" w:name="_Toc8562"/>
      <w:bookmarkStart w:id="72" w:name="_Toc15546"/>
      <w:r>
        <w:rPr>
          <w:rFonts w:ascii="Times New Roman" w:hAnsi="Times New Roman" w:eastAsia="方正黑体_GBK" w:cs="Times New Roman"/>
          <w:kern w:val="0"/>
          <w:sz w:val="28"/>
          <w:szCs w:val="28"/>
        </w:rPr>
        <w:t>一、比选程序及方法</w:t>
      </w:r>
      <w:bookmarkEnd w:id="71"/>
      <w:bookmarkEnd w:id="72"/>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（一）比选按竞争性比选文件规定的时间和地点进行，由采购人依法组建的比选小组进行比选。供应商应由法定代表人或其授权代表到现场回答比选小组提出的疑问（如有）。</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（二）比选小组对各供应商的资格条件、响应文件的有效性、完整性和响应程度进行审查。各供应商只有在完全符合要求的前提下，才能参与正式比选。</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1.资格性检查。依据法律法规和竞争性比选文件的规定，对响应文件中的资格证明等进行审查，以确定供应商是否具备比选资格。未通过审查的比选响应文件视为无效投标。资格性检查资料表如下：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8"/>
        <w:gridCol w:w="709"/>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序号</w:t>
            </w:r>
          </w:p>
        </w:tc>
        <w:tc>
          <w:tcPr>
            <w:tcW w:w="3118" w:type="dxa"/>
            <w:vAlign w:val="center"/>
          </w:tcPr>
          <w:p>
            <w:pPr>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检查因素</w:t>
            </w:r>
          </w:p>
        </w:tc>
        <w:tc>
          <w:tcPr>
            <w:tcW w:w="5693" w:type="dxa"/>
            <w:gridSpan w:val="2"/>
            <w:vAlign w:val="center"/>
          </w:tcPr>
          <w:p>
            <w:pPr>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（一）</w:t>
            </w:r>
          </w:p>
        </w:tc>
        <w:tc>
          <w:tcPr>
            <w:tcW w:w="3118" w:type="dxa"/>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1.具有独立承担民事责任的能力</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 xml:space="preserve">1.供应商法人营业执照（副本）或事业单位法人证书（副本）或个体工商户营业执照或有效的自然人身份证明或社会团体法人登记证书（提供复印件）。 </w:t>
            </w:r>
          </w:p>
          <w:p>
            <w:pPr>
              <w:rPr>
                <w:rFonts w:ascii="Times New Roman" w:hAnsi="Times New Roman" w:eastAsia="方正仿宋_GBK" w:cs="Times New Roman"/>
                <w:szCs w:val="21"/>
              </w:rPr>
            </w:pPr>
            <w:r>
              <w:rPr>
                <w:rFonts w:ascii="Times New Roman" w:hAnsi="Times New Roman" w:eastAsia="方正仿宋_GBK" w:cs="Times New Roman"/>
                <w:szCs w:val="21"/>
              </w:rPr>
              <w:t>2.供应商法定代表人身份证明或法定代表人授权代表委托书。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方正仿宋_GBK" w:cs="Times New Roman"/>
                <w:szCs w:val="21"/>
              </w:rPr>
            </w:pPr>
          </w:p>
        </w:tc>
        <w:tc>
          <w:tcPr>
            <w:tcW w:w="3118" w:type="dxa"/>
            <w:vAlign w:val="center"/>
          </w:tcPr>
          <w:p>
            <w:pPr>
              <w:rPr>
                <w:rFonts w:ascii="Times New Roman" w:hAnsi="Times New Roman" w:eastAsia="方正仿宋_GBK" w:cs="Times New Roman"/>
                <w:szCs w:val="21"/>
              </w:rPr>
            </w:pPr>
            <w:r>
              <w:rPr>
                <w:rFonts w:ascii="Times New Roman" w:hAnsi="Times New Roman" w:eastAsia="方正仿宋_GBK" w:cs="Times New Roman"/>
                <w:szCs w:val="21"/>
                <w:lang w:val="zh-CN"/>
              </w:rPr>
              <w:t>2.</w:t>
            </w:r>
            <w:r>
              <w:rPr>
                <w:rFonts w:ascii="Times New Roman" w:hAnsi="Times New Roman" w:eastAsia="方正仿宋_GBK" w:cs="Times New Roman"/>
                <w:szCs w:val="21"/>
              </w:rPr>
              <w:t>具有良好的商业信誉和健全的财务会计制度</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1.提供2020年度到2022年度财务状况报告（表）或其基本开户银行出具的资信证明（提供复印件）。</w:t>
            </w:r>
          </w:p>
          <w:p>
            <w:pPr>
              <w:rPr>
                <w:rFonts w:ascii="Times New Roman" w:hAnsi="Times New Roman" w:eastAsia="方正仿宋_GBK" w:cs="Times New Roman"/>
                <w:szCs w:val="21"/>
              </w:rPr>
            </w:pPr>
            <w:r>
              <w:rPr>
                <w:rFonts w:ascii="Times New Roman" w:hAnsi="Times New Roman" w:eastAsia="方正仿宋_GBK" w:cs="Times New Roman"/>
                <w:szCs w:val="21"/>
              </w:rPr>
              <w:t>2.本年度新成立或成立不满一年的组织和自然人无法提供财务状况报告（表）的，可提供银行出具的资信证明（提供复印件）。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方正仿宋_GBK" w:cs="Times New Roman"/>
                <w:szCs w:val="21"/>
              </w:rPr>
            </w:pPr>
          </w:p>
        </w:tc>
        <w:tc>
          <w:tcPr>
            <w:tcW w:w="3118" w:type="dxa"/>
            <w:vAlign w:val="center"/>
          </w:tcPr>
          <w:p>
            <w:pPr>
              <w:rPr>
                <w:rFonts w:ascii="Times New Roman" w:hAnsi="Times New Roman" w:eastAsia="方正仿宋_GBK" w:cs="Times New Roman"/>
                <w:szCs w:val="21"/>
                <w:lang w:val="zh-CN"/>
              </w:rPr>
            </w:pPr>
            <w:r>
              <w:rPr>
                <w:rFonts w:ascii="Times New Roman" w:hAnsi="Times New Roman" w:eastAsia="方正仿宋_GBK" w:cs="Times New Roman"/>
                <w:szCs w:val="21"/>
                <w:lang w:val="zh-CN"/>
              </w:rPr>
              <w:t>3.具有履行合同所必需的设备和专业技术能力</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方正仿宋_GBK" w:cs="Times New Roman"/>
                <w:szCs w:val="21"/>
              </w:rPr>
            </w:pPr>
          </w:p>
        </w:tc>
        <w:tc>
          <w:tcPr>
            <w:tcW w:w="3118" w:type="dxa"/>
            <w:vAlign w:val="center"/>
          </w:tcPr>
          <w:p>
            <w:pPr>
              <w:rPr>
                <w:rFonts w:ascii="Times New Roman" w:hAnsi="Times New Roman" w:eastAsia="方正仿宋_GBK" w:cs="Times New Roman"/>
                <w:szCs w:val="21"/>
                <w:lang w:val="zh-CN"/>
              </w:rPr>
            </w:pPr>
            <w:r>
              <w:rPr>
                <w:rFonts w:ascii="Times New Roman" w:hAnsi="Times New Roman" w:eastAsia="方正仿宋_GBK" w:cs="Times New Roman"/>
                <w:szCs w:val="21"/>
                <w:lang w:val="zh-CN"/>
              </w:rPr>
              <w:t>4.有依法缴纳税收和社会保障金的良好记录</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1.税务登记证（副本）（提供复印件）。</w:t>
            </w:r>
          </w:p>
          <w:p>
            <w:pPr>
              <w:rPr>
                <w:rFonts w:ascii="Times New Roman" w:hAnsi="Times New Roman" w:eastAsia="方正仿宋_GBK" w:cs="Times New Roman"/>
                <w:szCs w:val="21"/>
              </w:rPr>
            </w:pPr>
            <w:r>
              <w:rPr>
                <w:rFonts w:ascii="Times New Roman" w:hAnsi="Times New Roman" w:eastAsia="方正仿宋_GBK" w:cs="Times New Roman"/>
                <w:szCs w:val="21"/>
              </w:rPr>
              <w:t>2.缴纳社会保障金的证明材料（提供复印件）。</w:t>
            </w:r>
          </w:p>
          <w:p>
            <w:pPr>
              <w:rPr>
                <w:rFonts w:ascii="Times New Roman" w:hAnsi="Times New Roman" w:eastAsia="方正仿宋_GBK" w:cs="Times New Roman"/>
                <w:szCs w:val="21"/>
              </w:rPr>
            </w:pPr>
            <w:r>
              <w:rPr>
                <w:rFonts w:ascii="Times New Roman" w:hAnsi="Times New Roman" w:eastAsia="方正仿宋_GBK" w:cs="Times New Roman"/>
                <w:szCs w:val="21"/>
              </w:rPr>
              <w:t>3.依法免税或不需要缴纳社会保障资金的供应商，应提供相应文件证明其依法免税或不需要缴纳社会保障资金（提供复印件）。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方正仿宋_GBK" w:cs="Times New Roman"/>
                <w:szCs w:val="21"/>
              </w:rPr>
            </w:pPr>
          </w:p>
        </w:tc>
        <w:tc>
          <w:tcPr>
            <w:tcW w:w="3118" w:type="dxa"/>
            <w:vAlign w:val="center"/>
          </w:tcPr>
          <w:p>
            <w:pPr>
              <w:rPr>
                <w:rFonts w:ascii="Times New Roman" w:hAnsi="Times New Roman" w:eastAsia="方正仿宋_GBK" w:cs="Times New Roman"/>
                <w:szCs w:val="21"/>
                <w:lang w:val="zh-CN"/>
              </w:rPr>
            </w:pPr>
            <w:r>
              <w:rPr>
                <w:rFonts w:ascii="Times New Roman" w:hAnsi="Times New Roman" w:eastAsia="方正仿宋_GBK" w:cs="Times New Roman"/>
                <w:szCs w:val="21"/>
              </w:rPr>
              <w:t>5.前三年内，在参加政府采购活动中没有重大违法记录</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1.供应商提供书面声明（见格式文件）。</w:t>
            </w:r>
          </w:p>
          <w:p>
            <w:pPr>
              <w:rPr>
                <w:rFonts w:ascii="Times New Roman" w:hAnsi="Times New Roman" w:eastAsia="方正仿宋_GBK" w:cs="Times New Roman"/>
                <w:szCs w:val="21"/>
              </w:rPr>
            </w:pPr>
            <w:r>
              <w:rPr>
                <w:rFonts w:ascii="Times New Roman" w:hAnsi="Times New Roman" w:eastAsia="方正仿宋_GBK" w:cs="Times New Roman"/>
                <w:szCs w:val="21"/>
              </w:rPr>
              <w:t>2.采购人可在评标结束后通过 “信用中国”网站(www.creditchina.gov.cn)、"中国政府采购网"(www.ccgp.gov.cn)等渠道查询中选供应商信用记录，对列入失信被执行人、重大税收违法案件当事人名单、政府采购严重违法失信行为记录名单的供应商，采购人有权取消其中标资格，并将其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817" w:type="dxa"/>
            <w:vMerge w:val="continue"/>
            <w:vAlign w:val="center"/>
          </w:tcPr>
          <w:p>
            <w:pPr>
              <w:jc w:val="center"/>
              <w:rPr>
                <w:rFonts w:ascii="Times New Roman" w:hAnsi="Times New Roman" w:eastAsia="方正仿宋_GBK" w:cs="Times New Roman"/>
                <w:szCs w:val="21"/>
              </w:rPr>
            </w:pPr>
          </w:p>
        </w:tc>
        <w:tc>
          <w:tcPr>
            <w:tcW w:w="3118" w:type="dxa"/>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6.本项目的特定资格要求</w:t>
            </w:r>
          </w:p>
        </w:tc>
        <w:tc>
          <w:tcPr>
            <w:tcW w:w="5693"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按第一篇“三、比选资格（二）特定资格条件”的要求提交。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（二）</w:t>
            </w:r>
          </w:p>
        </w:tc>
        <w:tc>
          <w:tcPr>
            <w:tcW w:w="3827" w:type="dxa"/>
            <w:gridSpan w:val="2"/>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投标保证金</w:t>
            </w:r>
          </w:p>
        </w:tc>
        <w:tc>
          <w:tcPr>
            <w:tcW w:w="4984" w:type="dxa"/>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无</w:t>
            </w:r>
          </w:p>
        </w:tc>
      </w:tr>
    </w:tbl>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2.符合性检查。依据竞争性比选文件的规定，从响应文件的有效性、完整性和对竞争性比选文件的响应程度进行审查，以确定是否对竞争性比选文件的实质性要求作出响应。符合性检查资料表如下：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序号</w:t>
            </w:r>
          </w:p>
        </w:tc>
        <w:tc>
          <w:tcPr>
            <w:tcW w:w="3544" w:type="dxa"/>
            <w:gridSpan w:val="2"/>
            <w:vAlign w:val="center"/>
          </w:tcPr>
          <w:p>
            <w:pPr>
              <w:spacing w:line="240" w:lineRule="exact"/>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评审因素</w:t>
            </w:r>
          </w:p>
        </w:tc>
        <w:tc>
          <w:tcPr>
            <w:tcW w:w="5409" w:type="dxa"/>
            <w:vAlign w:val="center"/>
          </w:tcPr>
          <w:p>
            <w:pPr>
              <w:spacing w:line="240" w:lineRule="exact"/>
              <w:jc w:val="center"/>
              <w:rPr>
                <w:rFonts w:ascii="Times New Roman" w:hAnsi="Times New Roman" w:eastAsia="方正仿宋_GBK" w:cs="Times New Roman"/>
                <w:b/>
                <w:kern w:val="0"/>
                <w:szCs w:val="21"/>
              </w:rPr>
            </w:pPr>
            <w:r>
              <w:rPr>
                <w:rFonts w:ascii="Times New Roman" w:hAnsi="Times New Roman" w:eastAsia="方正仿宋_GBK" w:cs="Times New Roman"/>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spacing w:line="24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p>
        </w:tc>
        <w:tc>
          <w:tcPr>
            <w:tcW w:w="1560" w:type="dxa"/>
            <w:vMerge w:val="restart"/>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有效性审查</w:t>
            </w:r>
          </w:p>
        </w:tc>
        <w:tc>
          <w:tcPr>
            <w:tcW w:w="1984"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rPr>
              <w:t>响应文件签署</w:t>
            </w:r>
          </w:p>
        </w:tc>
        <w:tc>
          <w:tcPr>
            <w:tcW w:w="5409"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Times New Roman" w:hAnsi="Times New Roman" w:eastAsia="方正仿宋_GBK" w:cs="Times New Roman"/>
                <w:kern w:val="0"/>
                <w:szCs w:val="21"/>
              </w:rPr>
            </w:pPr>
          </w:p>
        </w:tc>
        <w:tc>
          <w:tcPr>
            <w:tcW w:w="1560" w:type="dxa"/>
            <w:vMerge w:val="continue"/>
            <w:vAlign w:val="center"/>
          </w:tcPr>
          <w:p>
            <w:pPr>
              <w:spacing w:line="240" w:lineRule="exact"/>
              <w:rPr>
                <w:rFonts w:ascii="Times New Roman" w:hAnsi="Times New Roman" w:eastAsia="方正仿宋_GBK" w:cs="Times New Roman"/>
                <w:kern w:val="0"/>
                <w:szCs w:val="21"/>
              </w:rPr>
            </w:pPr>
          </w:p>
        </w:tc>
        <w:tc>
          <w:tcPr>
            <w:tcW w:w="1984"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法定代表人身份证明及授权委托书</w:t>
            </w:r>
          </w:p>
        </w:tc>
        <w:tc>
          <w:tcPr>
            <w:tcW w:w="5409" w:type="dxa"/>
            <w:vAlign w:val="center"/>
          </w:tcPr>
          <w:p>
            <w:pPr>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法定代表人身份证明及授权委托书有效，符合竞争性比选文件规定的格式，签字或盖章齐全。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Times New Roman" w:hAnsi="Times New Roman" w:eastAsia="方正仿宋_GBK" w:cs="Times New Roman"/>
                <w:kern w:val="0"/>
                <w:szCs w:val="21"/>
              </w:rPr>
            </w:pPr>
          </w:p>
        </w:tc>
        <w:tc>
          <w:tcPr>
            <w:tcW w:w="1560" w:type="dxa"/>
            <w:vMerge w:val="continue"/>
            <w:vAlign w:val="center"/>
          </w:tcPr>
          <w:p>
            <w:pPr>
              <w:spacing w:line="240" w:lineRule="exact"/>
              <w:rPr>
                <w:rFonts w:ascii="Times New Roman" w:hAnsi="Times New Roman" w:eastAsia="方正仿宋_GBK" w:cs="Times New Roman"/>
                <w:kern w:val="0"/>
                <w:szCs w:val="21"/>
              </w:rPr>
            </w:pPr>
          </w:p>
        </w:tc>
        <w:tc>
          <w:tcPr>
            <w:tcW w:w="1984" w:type="dxa"/>
            <w:vAlign w:val="center"/>
          </w:tcPr>
          <w:p>
            <w:pPr>
              <w:spacing w:line="240" w:lineRule="exact"/>
              <w:rPr>
                <w:rFonts w:ascii="Times New Roman" w:hAnsi="Times New Roman" w:eastAsia="方正仿宋_GBK" w:cs="Times New Roman"/>
                <w:szCs w:val="21"/>
                <w:lang w:val="zh-CN"/>
              </w:rPr>
            </w:pPr>
            <w:r>
              <w:rPr>
                <w:rFonts w:ascii="Times New Roman" w:hAnsi="Times New Roman" w:eastAsia="方正仿宋_GBK" w:cs="Times New Roman"/>
                <w:szCs w:val="21"/>
              </w:rPr>
              <w:t>响应</w:t>
            </w:r>
            <w:r>
              <w:rPr>
                <w:rFonts w:ascii="Times New Roman" w:hAnsi="Times New Roman" w:eastAsia="方正仿宋_GBK" w:cs="Times New Roman"/>
                <w:szCs w:val="21"/>
                <w:lang w:val="zh-CN"/>
              </w:rPr>
              <w:t>方案</w:t>
            </w:r>
          </w:p>
        </w:tc>
        <w:tc>
          <w:tcPr>
            <w:tcW w:w="5409"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lang w:val="zh-CN"/>
              </w:rPr>
              <w:t>只能有一个</w:t>
            </w:r>
            <w:r>
              <w:rPr>
                <w:rFonts w:ascii="Times New Roman" w:hAnsi="Times New Roman" w:eastAsia="方正仿宋_GBK" w:cs="Times New Roman"/>
                <w:szCs w:val="21"/>
              </w:rPr>
              <w:t>响应</w:t>
            </w:r>
            <w:r>
              <w:rPr>
                <w:rFonts w:ascii="Times New Roman" w:hAnsi="Times New Roman" w:eastAsia="方正仿宋_GBK" w:cs="Times New Roman"/>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75" w:type="dxa"/>
            <w:vMerge w:val="continue"/>
            <w:vAlign w:val="center"/>
          </w:tcPr>
          <w:p>
            <w:pPr>
              <w:spacing w:line="240" w:lineRule="exact"/>
              <w:jc w:val="center"/>
              <w:rPr>
                <w:rFonts w:ascii="Times New Roman" w:hAnsi="Times New Roman" w:eastAsia="方正仿宋_GBK" w:cs="Times New Roman"/>
                <w:kern w:val="0"/>
                <w:szCs w:val="21"/>
              </w:rPr>
            </w:pPr>
          </w:p>
        </w:tc>
        <w:tc>
          <w:tcPr>
            <w:tcW w:w="1560" w:type="dxa"/>
            <w:vMerge w:val="continue"/>
            <w:vAlign w:val="center"/>
          </w:tcPr>
          <w:p>
            <w:pPr>
              <w:spacing w:line="240" w:lineRule="exact"/>
              <w:rPr>
                <w:rFonts w:ascii="Times New Roman" w:hAnsi="Times New Roman" w:eastAsia="方正仿宋_GBK" w:cs="Times New Roman"/>
                <w:kern w:val="0"/>
                <w:szCs w:val="21"/>
              </w:rPr>
            </w:pPr>
          </w:p>
        </w:tc>
        <w:tc>
          <w:tcPr>
            <w:tcW w:w="1984" w:type="dxa"/>
            <w:vAlign w:val="center"/>
          </w:tcPr>
          <w:p>
            <w:pPr>
              <w:spacing w:line="240" w:lineRule="exact"/>
              <w:rPr>
                <w:rFonts w:ascii="Times New Roman" w:hAnsi="Times New Roman" w:eastAsia="方正仿宋_GBK" w:cs="Times New Roman"/>
                <w:szCs w:val="21"/>
                <w:lang w:val="zh-CN"/>
              </w:rPr>
            </w:pPr>
            <w:r>
              <w:rPr>
                <w:rFonts w:ascii="Times New Roman" w:hAnsi="Times New Roman" w:eastAsia="方正仿宋_GBK" w:cs="Times New Roman"/>
                <w:szCs w:val="21"/>
              </w:rPr>
              <w:t>报价唯一</w:t>
            </w:r>
          </w:p>
        </w:tc>
        <w:tc>
          <w:tcPr>
            <w:tcW w:w="5409"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pPr>
              <w:spacing w:line="240" w:lineRule="exact"/>
              <w:jc w:val="center"/>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p>
        </w:tc>
        <w:tc>
          <w:tcPr>
            <w:tcW w:w="1560"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kern w:val="0"/>
                <w:szCs w:val="21"/>
              </w:rPr>
              <w:t>完整性审查</w:t>
            </w:r>
          </w:p>
        </w:tc>
        <w:tc>
          <w:tcPr>
            <w:tcW w:w="1984"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rPr>
              <w:t>响应</w:t>
            </w:r>
            <w:r>
              <w:rPr>
                <w:rFonts w:ascii="Times New Roman" w:hAnsi="Times New Roman" w:eastAsia="方正仿宋_GBK" w:cs="Times New Roman"/>
                <w:szCs w:val="21"/>
                <w:lang w:val="zh-CN"/>
              </w:rPr>
              <w:t>文件份数</w:t>
            </w:r>
          </w:p>
        </w:tc>
        <w:tc>
          <w:tcPr>
            <w:tcW w:w="5409" w:type="dxa"/>
            <w:vAlign w:val="center"/>
          </w:tcPr>
          <w:p>
            <w:pPr>
              <w:spacing w:line="240" w:lineRule="exact"/>
              <w:rPr>
                <w:rFonts w:ascii="Times New Roman" w:hAnsi="Times New Roman" w:eastAsia="方正仿宋_GBK" w:cs="Times New Roman"/>
                <w:kern w:val="0"/>
                <w:szCs w:val="21"/>
              </w:rPr>
            </w:pPr>
            <w:r>
              <w:rPr>
                <w:rFonts w:ascii="Times New Roman" w:hAnsi="Times New Roman" w:eastAsia="方正仿宋_GBK" w:cs="Times New Roman"/>
                <w:szCs w:val="21"/>
              </w:rPr>
              <w:t>响应</w:t>
            </w:r>
            <w:r>
              <w:rPr>
                <w:rFonts w:ascii="Times New Roman" w:hAnsi="Times New Roman" w:eastAsia="方正仿宋_GBK" w:cs="Times New Roman"/>
                <w:szCs w:val="21"/>
                <w:lang w:val="zh-CN"/>
              </w:rPr>
              <w:t>文件正、副本数量（含电子文档）符合</w:t>
            </w:r>
            <w:r>
              <w:rPr>
                <w:rFonts w:ascii="Times New Roman" w:hAnsi="Times New Roman" w:eastAsia="方正仿宋_GBK" w:cs="Times New Roman"/>
                <w:szCs w:val="21"/>
              </w:rPr>
              <w:t>竞争性比选</w:t>
            </w:r>
            <w:r>
              <w:rPr>
                <w:rFonts w:ascii="Times New Roman" w:hAnsi="Times New Roman" w:eastAsia="方正仿宋_GBK" w:cs="Times New Roman"/>
                <w:szCs w:val="21"/>
                <w:lang w:val="zh-CN"/>
              </w:rPr>
              <w:t>文件要求。</w:t>
            </w:r>
          </w:p>
        </w:tc>
      </w:tr>
    </w:tbl>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三）澄清有关问题。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四）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（五）在比选过程中比选的任何一方不得向他人透露与比选有关的服务资料、价格或其他信息。</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（六）供应商在比选时作出的所有书面承诺须由法定代表人或其授权代表签字。</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七）比选小组采用综合评分法对供应商的响应文件进行综合评分。综合评分法，是指响应文件满足竞争性比选文件全部实质性要求且按照评审因素的量化指标评审得分最高的供应商为中标候选供应商的评审方法。供应商总得分为价格、服务、商务等评定因素分别按照相应权重值计算分项得分后相加，满分为100分。</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八）比选小组各成员独立对每个有效响应（通过资格性检查、符合性检查的供应商）的文件进行评价、打分，然后汇总每个供应商每项评分因素的得分，并根据综合评分情况按照评审得分由高到低顺序推荐3名以上中标候选供应商，并编写评审报告。若供应商的评审得分相同的，按照报价由低到高的顺序排列推荐。评审得分且报价相同的，按照服务指标优劣顺序排列推荐。以上都相同的，按商务条款的优劣顺序排列推荐。若供应商的比选项目技术或服务需求部分为0分，将失去成为中标候选供应商的资格。</w:t>
      </w:r>
    </w:p>
    <w:p>
      <w:pPr>
        <w:snapToGrid w:val="0"/>
        <w:spacing w:line="560" w:lineRule="exact"/>
        <w:ind w:firstLine="560" w:firstLineChars="200"/>
        <w:rPr>
          <w:rFonts w:ascii="Times New Roman" w:hAnsi="Times New Roman" w:eastAsia="方正黑体_GBK" w:cs="Times New Roman"/>
          <w:kern w:val="0"/>
          <w:sz w:val="28"/>
          <w:szCs w:val="28"/>
        </w:rPr>
      </w:pPr>
      <w:bookmarkStart w:id="73" w:name="_Toc28343"/>
      <w:r>
        <w:rPr>
          <w:rFonts w:ascii="Times New Roman" w:hAnsi="Times New Roman" w:eastAsia="方正黑体_GBK" w:cs="Times New Roman"/>
          <w:kern w:val="0"/>
          <w:sz w:val="28"/>
          <w:szCs w:val="28"/>
        </w:rPr>
        <w:t>二、评审标准</w:t>
      </w:r>
      <w:bookmarkEnd w:id="73"/>
    </w:p>
    <w:tbl>
      <w:tblPr>
        <w:tblStyle w:val="13"/>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125"/>
        <w:gridCol w:w="1142"/>
        <w:gridCol w:w="5308"/>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szCs w:val="21"/>
              </w:rPr>
              <w:t>序号</w:t>
            </w:r>
          </w:p>
        </w:tc>
        <w:tc>
          <w:tcPr>
            <w:tcW w:w="112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szCs w:val="21"/>
              </w:rPr>
              <w:t>评分因素及权值</w:t>
            </w:r>
          </w:p>
        </w:tc>
        <w:tc>
          <w:tcPr>
            <w:tcW w:w="1142"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szCs w:val="21"/>
              </w:rPr>
              <w:t>分值</w:t>
            </w:r>
          </w:p>
        </w:tc>
        <w:tc>
          <w:tcPr>
            <w:tcW w:w="5308"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szCs w:val="21"/>
              </w:rPr>
              <w:t>评分标准</w:t>
            </w:r>
          </w:p>
        </w:tc>
        <w:tc>
          <w:tcPr>
            <w:tcW w:w="2235" w:type="dxa"/>
            <w:tcBorders>
              <w:top w:val="single" w:color="auto" w:sz="4" w:space="0"/>
              <w:left w:val="single" w:color="auto" w:sz="4" w:space="0"/>
              <w:bottom w:val="single" w:color="auto" w:sz="4" w:space="0"/>
              <w:right w:val="single" w:color="auto" w:sz="4" w:space="0"/>
            </w:tcBorders>
            <w:vAlign w:val="center"/>
          </w:tcPr>
          <w:p>
            <w:pPr>
              <w:ind w:firstLine="28"/>
              <w:jc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125"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价格部分</w:t>
            </w:r>
          </w:p>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（30分）</w:t>
            </w: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30分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满足资格性、符合性要求且报价最低的供应商的价格为比选基准价，其价格分为满分。其他供应商的价格分按照下列公式计算：</w:t>
            </w:r>
          </w:p>
          <w:p>
            <w:pPr>
              <w:ind w:left="-38"/>
              <w:rPr>
                <w:rFonts w:ascii="Times New Roman" w:hAnsi="Times New Roman" w:eastAsia="方正仿宋_GBK" w:cs="Times New Roman"/>
                <w:szCs w:val="21"/>
              </w:rPr>
            </w:pPr>
            <w:r>
              <w:rPr>
                <w:rFonts w:ascii="Times New Roman" w:hAnsi="Times New Roman" w:eastAsia="方正仿宋_GBK" w:cs="Times New Roman"/>
                <w:szCs w:val="21"/>
              </w:rPr>
              <w:t>价格得分=（比选基准价/比选报价）×30</w:t>
            </w:r>
          </w:p>
          <w:p>
            <w:pPr>
              <w:ind w:left="-38"/>
              <w:rPr>
                <w:rFonts w:ascii="Times New Roman" w:hAnsi="Times New Roman" w:eastAsia="方正仿宋_GBK" w:cs="Times New Roman"/>
                <w:szCs w:val="21"/>
              </w:rPr>
            </w:pPr>
            <w:r>
              <w:rPr>
                <w:rFonts w:ascii="Times New Roman" w:hAnsi="Times New Roman" w:eastAsia="方正仿宋_GBK" w:cs="Times New Roman"/>
                <w:szCs w:val="21"/>
              </w:rPr>
              <w:t>以上计算取小数点后两位，第三位四舍五入。</w:t>
            </w:r>
          </w:p>
        </w:tc>
        <w:tc>
          <w:tcPr>
            <w:tcW w:w="2235"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restart"/>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125" w:type="dxa"/>
            <w:vMerge w:val="restart"/>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技术部分</w:t>
            </w:r>
          </w:p>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（40分）</w:t>
            </w: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服务方案（10分）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比选申请人提供项目服务方案，比选小组对方案情况进行排名，第一名得10分、第二名得8分、第三名得6分、第四名得4分、第五名得2分、第六名及以后得0分。</w:t>
            </w: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Cs w:val="21"/>
              </w:rPr>
            </w:pPr>
            <w:r>
              <w:rPr>
                <w:rFonts w:ascii="Times New Roman" w:hAnsi="Times New Roman" w:eastAsia="方正仿宋_GBK" w:cs="Times New Roman"/>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tcBorders>
              <w:left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25" w:type="dxa"/>
            <w:vMerge w:val="continue"/>
            <w:tcBorders>
              <w:left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项目工作小组</w:t>
            </w:r>
          </w:p>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申请人在项目实施方案中提供项目工作小组具体名单。工作小组成员专业方向有注册消防工程师得1分，注册安全工程师得1分，电气相关高级工程师得1分，化工相关高级工程师得1分，生物相关高级工程师得1分；配备重庆市安全生产应急救援专家或重庆市应急管理专家，每配备1人得1分，最多得5分。（提供近三个月社保和聘书）</w:t>
            </w: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Cs w:val="21"/>
              </w:rPr>
            </w:pPr>
            <w:r>
              <w:rPr>
                <w:rFonts w:ascii="Times New Roman" w:hAnsi="Times New Roman" w:eastAsia="方正仿宋_GBK" w:cs="Times New Roman"/>
                <w:szCs w:val="21"/>
              </w:rPr>
              <w:t>不提供不得分</w:t>
            </w:r>
          </w:p>
          <w:p>
            <w:pPr>
              <w:rPr>
                <w:rFonts w:ascii="Times New Roman" w:hAnsi="Times New Roman" w:cs="Times New Roman"/>
              </w:rPr>
            </w:pPr>
            <w:r>
              <w:rPr>
                <w:rFonts w:ascii="Times New Roman" w:hAnsi="Times New Roman" w:eastAsia="方正仿宋_GBK" w:cs="Times New Roman"/>
                <w:szCs w:val="21"/>
              </w:rPr>
              <w:t>注：工作小组成员都须持有安全相关资格证书，提供相关证明，如不提供或不全，此项不得分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vMerge w:val="continue"/>
            <w:tcBorders>
              <w:left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25" w:type="dxa"/>
            <w:vMerge w:val="continue"/>
            <w:tcBorders>
              <w:left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项目分析评价</w:t>
            </w:r>
          </w:p>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比选小组对项目实施方案中实验室总体情况、重点风险源情况的分析和评价进行排名。第一名得10分、第二名得8分、第三名得6分、第四名得4分、第五名得2分、第六名及以后得0分。</w:t>
            </w:r>
          </w:p>
        </w:tc>
        <w:tc>
          <w:tcPr>
            <w:tcW w:w="223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Cs w:val="21"/>
              </w:rPr>
            </w:pPr>
            <w:r>
              <w:rPr>
                <w:rFonts w:ascii="Times New Roman" w:hAnsi="Times New Roman" w:eastAsia="方正仿宋_GBK" w:cs="Times New Roman"/>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25" w:type="dxa"/>
            <w:vMerge w:val="continue"/>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项目质量保障措施（10分）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比选小组对项目实施方案中安全技术服务质量控制保障措施的合理性进行排名。第一名得10分、第二名得8分、第三名得6分、第四名得4分、第五名得2分、第六名及以后得0分。</w:t>
            </w:r>
          </w:p>
        </w:tc>
        <w:tc>
          <w:tcPr>
            <w:tcW w:w="2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Times New Roman" w:hAnsi="Times New Roman" w:eastAsia="宋体" w:cs="Times New Roman"/>
                <w:color w:val="000000"/>
                <w:szCs w:val="21"/>
              </w:rPr>
            </w:pPr>
            <w:r>
              <w:rPr>
                <w:rFonts w:ascii="Times New Roman" w:hAnsi="Times New Roman" w:eastAsia="方正仿宋_GBK" w:cs="Times New Roman"/>
                <w:szCs w:val="21"/>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456" w:type="dxa"/>
            <w:vMerge w:val="restart"/>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3</w:t>
            </w:r>
          </w:p>
          <w:p>
            <w:pPr>
              <w:ind w:left="-38"/>
              <w:jc w:val="center"/>
              <w:rPr>
                <w:rFonts w:ascii="Times New Roman" w:hAnsi="Times New Roman" w:eastAsia="方正仿宋_GBK" w:cs="Times New Roman"/>
                <w:szCs w:val="21"/>
              </w:rPr>
            </w:pP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商务部分</w:t>
            </w:r>
          </w:p>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（30分）</w:t>
            </w: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企业资质（10分）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比选申请人具有重庆市应急管理局颁发的安全评价机构资质证书，得10分。</w:t>
            </w:r>
          </w:p>
        </w:tc>
        <w:tc>
          <w:tcPr>
            <w:tcW w:w="223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left"/>
              <w:rPr>
                <w:rFonts w:ascii="Times New Roman" w:hAnsi="Times New Roman" w:eastAsia="宋体" w:cs="Times New Roman"/>
                <w:color w:val="000000"/>
                <w:szCs w:val="21"/>
              </w:rPr>
            </w:pPr>
            <w:r>
              <w:rPr>
                <w:rFonts w:ascii="Times New Roman" w:hAnsi="Times New Roman" w:eastAsia="方正仿宋_GBK" w:cs="Times New Roman"/>
                <w:szCs w:val="21"/>
              </w:rPr>
              <w:t>提供加盖投标人公章的证书复印件，不提供不得分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企业业绩（10分）</w:t>
            </w:r>
          </w:p>
        </w:tc>
        <w:tc>
          <w:tcPr>
            <w:tcW w:w="5308" w:type="dxa"/>
            <w:tcBorders>
              <w:top w:val="single" w:color="auto" w:sz="4" w:space="0"/>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比选申请人提供2020年7月至今涉及生物医学、危化相关安全技术咨询服务合同，每提供一个得2分，最多得10分。</w:t>
            </w:r>
          </w:p>
        </w:tc>
        <w:tc>
          <w:tcPr>
            <w:tcW w:w="2235" w:type="dxa"/>
            <w:tcBorders>
              <w:top w:val="nil"/>
              <w:left w:val="single" w:color="auto" w:sz="4" w:space="0"/>
              <w:bottom w:val="single" w:color="auto" w:sz="4" w:space="0"/>
              <w:right w:val="single" w:color="auto" w:sz="4" w:space="0"/>
            </w:tcBorders>
            <w:vAlign w:val="center"/>
          </w:tcPr>
          <w:p>
            <w:pPr>
              <w:ind w:left="-38"/>
              <w:rPr>
                <w:rFonts w:ascii="Times New Roman" w:hAnsi="Times New Roman" w:eastAsia="方正仿宋_GBK" w:cs="Times New Roman"/>
                <w:color w:val="000000"/>
                <w:szCs w:val="21"/>
              </w:rPr>
            </w:pPr>
            <w:r>
              <w:rPr>
                <w:rFonts w:ascii="Times New Roman" w:hAnsi="Times New Roman" w:eastAsia="方正仿宋_GBK" w:cs="Times New Roman"/>
                <w:szCs w:val="21"/>
              </w:rPr>
              <w:t>提供相关页复印件并加盖公章，不提供不得分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56" w:type="dxa"/>
            <w:vMerge w:val="continue"/>
            <w:tcBorders>
              <w:top w:val="nil"/>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ind w:left="-38"/>
              <w:jc w:val="center"/>
              <w:rPr>
                <w:rFonts w:ascii="Times New Roman" w:hAnsi="Times New Roman" w:eastAsia="方正仿宋_GBK" w:cs="Times New Roman"/>
                <w:szCs w:val="21"/>
              </w:rPr>
            </w:pPr>
          </w:p>
        </w:tc>
        <w:tc>
          <w:tcPr>
            <w:tcW w:w="1142" w:type="dxa"/>
            <w:tcBorders>
              <w:top w:val="single" w:color="auto" w:sz="4" w:space="0"/>
              <w:left w:val="single" w:color="auto" w:sz="4" w:space="0"/>
              <w:right w:val="single" w:color="auto" w:sz="4" w:space="0"/>
            </w:tcBorders>
            <w:vAlign w:val="center"/>
          </w:tcPr>
          <w:p>
            <w:pPr>
              <w:ind w:left="-38"/>
              <w:jc w:val="center"/>
              <w:rPr>
                <w:rFonts w:ascii="Times New Roman" w:hAnsi="Times New Roman" w:eastAsia="方正仿宋_GBK" w:cs="Times New Roman"/>
                <w:szCs w:val="21"/>
              </w:rPr>
            </w:pPr>
            <w:r>
              <w:rPr>
                <w:rFonts w:ascii="Times New Roman" w:hAnsi="Times New Roman" w:eastAsia="方正仿宋_GBK" w:cs="Times New Roman"/>
                <w:szCs w:val="21"/>
              </w:rPr>
              <w:t>体系认证（10分）</w:t>
            </w:r>
          </w:p>
        </w:tc>
        <w:tc>
          <w:tcPr>
            <w:tcW w:w="5308" w:type="dxa"/>
            <w:tcBorders>
              <w:top w:val="single" w:color="auto" w:sz="4" w:space="0"/>
              <w:left w:val="single" w:color="auto" w:sz="4" w:space="0"/>
              <w:right w:val="single" w:color="auto" w:sz="4" w:space="0"/>
            </w:tcBorders>
            <w:vAlign w:val="center"/>
          </w:tcPr>
          <w:p>
            <w:pPr>
              <w:ind w:left="-38"/>
              <w:rPr>
                <w:rFonts w:ascii="Times New Roman" w:hAnsi="Times New Roman" w:eastAsia="方正仿宋_GBK" w:cs="Times New Roman"/>
                <w:szCs w:val="21"/>
              </w:rPr>
            </w:pPr>
            <w:r>
              <w:rPr>
                <w:rFonts w:ascii="Times New Roman" w:hAnsi="Times New Roman" w:eastAsia="方正仿宋_GBK" w:cs="Times New Roman"/>
                <w:szCs w:val="21"/>
              </w:rPr>
              <w:t>1.比选申请人取得质量管理体系认证证书，得5分；</w:t>
            </w:r>
          </w:p>
          <w:p>
            <w:pPr>
              <w:ind w:left="-38"/>
              <w:rPr>
                <w:rFonts w:ascii="Times New Roman" w:hAnsi="Times New Roman" w:eastAsia="方正仿宋_GBK" w:cs="Times New Roman"/>
                <w:szCs w:val="21"/>
              </w:rPr>
            </w:pPr>
            <w:r>
              <w:rPr>
                <w:rFonts w:ascii="Times New Roman" w:hAnsi="Times New Roman" w:eastAsia="方正仿宋_GBK" w:cs="Times New Roman"/>
                <w:szCs w:val="21"/>
              </w:rPr>
              <w:t>2.比选申请人取得环境管理体系认证证书，得5分。</w:t>
            </w:r>
          </w:p>
        </w:tc>
        <w:tc>
          <w:tcPr>
            <w:tcW w:w="2235" w:type="dxa"/>
            <w:tcBorders>
              <w:top w:val="nil"/>
              <w:left w:val="single" w:color="auto" w:sz="4" w:space="0"/>
              <w:right w:val="single" w:color="auto" w:sz="4" w:space="0"/>
            </w:tcBorders>
            <w:vAlign w:val="center"/>
          </w:tcPr>
          <w:p>
            <w:pPr>
              <w:widowControl/>
              <w:jc w:val="left"/>
              <w:rPr>
                <w:rFonts w:ascii="Times New Roman" w:hAnsi="Times New Roman" w:eastAsia="宋体" w:cs="Times New Roman"/>
                <w:color w:val="000000"/>
                <w:szCs w:val="21"/>
              </w:rPr>
            </w:pPr>
            <w:r>
              <w:rPr>
                <w:rFonts w:ascii="Times New Roman" w:hAnsi="Times New Roman" w:eastAsia="方正仿宋_GBK" w:cs="Times New Roman"/>
                <w:szCs w:val="21"/>
              </w:rPr>
              <w:t>提供加盖投标人公章的证书复印件，不提供不得分</w:t>
            </w:r>
          </w:p>
        </w:tc>
      </w:tr>
    </w:tbl>
    <w:p>
      <w:pPr>
        <w:snapToGrid w:val="0"/>
        <w:spacing w:line="560" w:lineRule="exact"/>
        <w:ind w:firstLine="560" w:firstLineChars="200"/>
        <w:rPr>
          <w:rFonts w:ascii="Times New Roman" w:hAnsi="Times New Roman" w:eastAsia="方正黑体_GBK" w:cs="Times New Roman"/>
          <w:kern w:val="0"/>
          <w:sz w:val="28"/>
          <w:szCs w:val="28"/>
        </w:rPr>
      </w:pPr>
      <w:bookmarkStart w:id="74" w:name="_Toc7100"/>
      <w:bookmarkStart w:id="75" w:name="_Toc342913394"/>
      <w:bookmarkStart w:id="76" w:name="_Toc102227320"/>
      <w:r>
        <w:rPr>
          <w:rFonts w:ascii="Times New Roman" w:hAnsi="Times New Roman" w:eastAsia="方正黑体_GBK" w:cs="Times New Roman"/>
          <w:kern w:val="0"/>
          <w:sz w:val="28"/>
          <w:szCs w:val="28"/>
        </w:rPr>
        <w:t>三、无效响应</w:t>
      </w:r>
      <w:bookmarkEnd w:id="74"/>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供应商发生以下条款情况之一者，视为无效响应，由比选小组作废标处理：</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（一）供应商不符合规定的资格条件的；</w:t>
      </w:r>
    </w:p>
    <w:p>
      <w:pPr>
        <w:snapToGrid w:val="0"/>
        <w:spacing w:line="560" w:lineRule="exact"/>
        <w:ind w:firstLine="539"/>
        <w:rPr>
          <w:rFonts w:ascii="Times New Roman" w:hAnsi="Times New Roman" w:eastAsia="方正仿宋_GBK" w:cs="Times New Roman"/>
          <w:sz w:val="28"/>
          <w:szCs w:val="28"/>
        </w:rPr>
      </w:pPr>
      <w:r>
        <w:rPr>
          <w:rFonts w:ascii="Times New Roman" w:hAnsi="Times New Roman" w:eastAsia="方正仿宋_GBK" w:cs="Times New Roman"/>
          <w:sz w:val="28"/>
          <w:szCs w:val="28"/>
        </w:rPr>
        <w:t>（二）供应商未通过实质性响应审查的；</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（三）供应商所提交的响应文件未按“第六篇 响应文件格式要求”要求签署或盖章的；</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（四）单位负责人为同一人或者存在直接控股、管理关系的不同供应商，参加同一合同项（包）比选的；</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（五）供应商以联合体形式参与比选的；</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（六）供应商进行合同分包的；</w:t>
      </w:r>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（七）供应商响应文件内容有与国家现行法律法规相违背的内容，或附有采购人无法接受条件的。</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77" w:name="_Toc19460"/>
      <w:bookmarkStart w:id="78" w:name="_Toc14436"/>
      <w:r>
        <w:rPr>
          <w:rFonts w:ascii="Times New Roman" w:hAnsi="Times New Roman" w:eastAsia="方正黑体_GBK" w:cs="Times New Roman"/>
          <w:kern w:val="0"/>
          <w:sz w:val="28"/>
          <w:szCs w:val="28"/>
        </w:rPr>
        <w:t>四、</w:t>
      </w:r>
      <w:bookmarkEnd w:id="75"/>
      <w:bookmarkEnd w:id="76"/>
      <w:r>
        <w:rPr>
          <w:rFonts w:ascii="Times New Roman" w:hAnsi="Times New Roman" w:eastAsia="方正黑体_GBK" w:cs="Times New Roman"/>
          <w:kern w:val="0"/>
          <w:sz w:val="28"/>
          <w:szCs w:val="28"/>
        </w:rPr>
        <w:t>采购终止</w:t>
      </w:r>
      <w:bookmarkEnd w:id="77"/>
      <w:bookmarkEnd w:id="78"/>
    </w:p>
    <w:p>
      <w:pPr>
        <w:snapToGrid w:val="0"/>
        <w:spacing w:line="560" w:lineRule="exact"/>
        <w:ind w:firstLine="465"/>
        <w:rPr>
          <w:rFonts w:ascii="Times New Roman" w:hAnsi="Times New Roman" w:eastAsia="方正仿宋_GBK" w:cs="Times New Roman"/>
          <w:sz w:val="28"/>
          <w:szCs w:val="28"/>
        </w:rPr>
      </w:pPr>
      <w:r>
        <w:rPr>
          <w:rFonts w:ascii="Times New Roman" w:hAnsi="Times New Roman" w:eastAsia="方正仿宋_GBK" w:cs="Times New Roman"/>
          <w:sz w:val="28"/>
          <w:szCs w:val="28"/>
        </w:rPr>
        <w:t>出现下列情形之一的，采购人应当终止竞争性比选采购活动：</w:t>
      </w:r>
    </w:p>
    <w:p>
      <w:pPr>
        <w:snapToGrid w:val="0"/>
        <w:spacing w:line="560" w:lineRule="exact"/>
        <w:ind w:firstLine="465"/>
        <w:rPr>
          <w:rFonts w:ascii="Times New Roman" w:hAnsi="Times New Roman" w:eastAsia="方正仿宋_GBK" w:cs="Times New Roman"/>
          <w:sz w:val="28"/>
          <w:szCs w:val="28"/>
        </w:rPr>
      </w:pPr>
      <w:r>
        <w:rPr>
          <w:rFonts w:ascii="Times New Roman" w:hAnsi="Times New Roman" w:eastAsia="方正仿宋_GBK" w:cs="Times New Roman"/>
          <w:sz w:val="28"/>
          <w:szCs w:val="28"/>
        </w:rPr>
        <w:t>（一）出现影响采购公正的违法、违规行为的；</w:t>
      </w:r>
    </w:p>
    <w:p>
      <w:pPr>
        <w:snapToGrid w:val="0"/>
        <w:spacing w:line="560" w:lineRule="exact"/>
        <w:ind w:firstLine="465"/>
        <w:rPr>
          <w:rFonts w:ascii="Times New Roman" w:hAnsi="Times New Roman" w:eastAsia="方正仿宋_GBK" w:cs="Times New Roman"/>
          <w:sz w:val="28"/>
          <w:szCs w:val="28"/>
        </w:rPr>
      </w:pPr>
      <w:r>
        <w:rPr>
          <w:rFonts w:ascii="Times New Roman" w:hAnsi="Times New Roman" w:eastAsia="方正仿宋_GBK" w:cs="Times New Roman"/>
          <w:sz w:val="28"/>
          <w:szCs w:val="28"/>
        </w:rPr>
        <w:t>（二）因重大变故，采购任务取消的；</w:t>
      </w:r>
    </w:p>
    <w:p>
      <w:pPr>
        <w:snapToGrid w:val="0"/>
        <w:spacing w:line="560" w:lineRule="exact"/>
        <w:ind w:firstLine="465"/>
        <w:rPr>
          <w:rFonts w:ascii="Times New Roman" w:hAnsi="Times New Roman" w:eastAsia="方正仿宋_GBK" w:cs="Times New Roman"/>
          <w:sz w:val="28"/>
          <w:szCs w:val="28"/>
        </w:rPr>
      </w:pPr>
      <w:r>
        <w:rPr>
          <w:rFonts w:ascii="Times New Roman" w:hAnsi="Times New Roman" w:eastAsia="方正仿宋_GBK" w:cs="Times New Roman"/>
          <w:sz w:val="28"/>
          <w:szCs w:val="28"/>
        </w:rPr>
        <w:t>（三）投标不足3家的，或开标后经资格性和符合性审查符合要求的供应商不足3家的。</w:t>
      </w:r>
    </w:p>
    <w:p>
      <w:pPr>
        <w:pStyle w:val="10"/>
        <w:spacing w:line="560" w:lineRule="exact"/>
        <w:rPr>
          <w:rFonts w:ascii="Times New Roman" w:hAnsi="Times New Roman" w:cs="Times New Roman"/>
        </w:rPr>
      </w:pPr>
    </w:p>
    <w:p>
      <w:pPr>
        <w:pStyle w:val="4"/>
        <w:spacing w:before="0" w:after="0" w:line="560" w:lineRule="exact"/>
        <w:jc w:val="center"/>
        <w:rPr>
          <w:rFonts w:ascii="Times New Roman" w:hAnsi="Times New Roman" w:cs="Times New Roman"/>
          <w:b w:val="0"/>
          <w:color w:val="000000"/>
          <w:szCs w:val="32"/>
        </w:rPr>
      </w:pPr>
      <w:bookmarkStart w:id="79" w:name="_Toc102227313"/>
      <w:bookmarkStart w:id="80" w:name="_Toc4275"/>
      <w:bookmarkStart w:id="81" w:name="_Toc14343"/>
      <w:bookmarkStart w:id="82" w:name="_Toc6132"/>
      <w:bookmarkStart w:id="83" w:name="_Toc11641055"/>
      <w:bookmarkStart w:id="84" w:name="_Toc12789059"/>
      <w:r>
        <w:rPr>
          <w:rFonts w:ascii="Times New Roman" w:hAnsi="Times New Roman" w:cs="Times New Roman"/>
          <w:b w:val="0"/>
          <w:color w:val="000000"/>
          <w:szCs w:val="32"/>
        </w:rPr>
        <w:t>第五篇  供应商须知</w:t>
      </w:r>
      <w:bookmarkEnd w:id="79"/>
      <w:bookmarkEnd w:id="80"/>
      <w:bookmarkEnd w:id="81"/>
      <w:bookmarkEnd w:id="82"/>
    </w:p>
    <w:p>
      <w:pPr>
        <w:pStyle w:val="7"/>
        <w:spacing w:line="560" w:lineRule="exact"/>
        <w:ind w:firstLine="560" w:firstLineChars="200"/>
        <w:outlineLvl w:val="0"/>
        <w:rPr>
          <w:rFonts w:ascii="Times New Roman" w:hAnsi="Times New Roman" w:eastAsia="方正黑体_GBK" w:cs="Times New Roman"/>
          <w:kern w:val="0"/>
          <w:sz w:val="28"/>
          <w:szCs w:val="28"/>
        </w:rPr>
      </w:pPr>
      <w:bookmarkStart w:id="85" w:name="_Toc342913389"/>
      <w:bookmarkStart w:id="86" w:name="_Toc3855"/>
      <w:bookmarkStart w:id="87" w:name="_Toc28827"/>
      <w:bookmarkStart w:id="88" w:name="_Toc518"/>
      <w:r>
        <w:rPr>
          <w:rFonts w:ascii="Times New Roman" w:hAnsi="Times New Roman" w:eastAsia="方正黑体_GBK" w:cs="Times New Roman"/>
          <w:kern w:val="0"/>
          <w:sz w:val="28"/>
          <w:szCs w:val="28"/>
        </w:rPr>
        <w:t>一、</w:t>
      </w:r>
      <w:bookmarkEnd w:id="85"/>
      <w:bookmarkEnd w:id="86"/>
      <w:bookmarkEnd w:id="87"/>
      <w:bookmarkStart w:id="89" w:name="_Toc342913391"/>
      <w:bookmarkStart w:id="90" w:name="_Toc21357"/>
      <w:bookmarkStart w:id="91" w:name="_Toc31574"/>
      <w:r>
        <w:rPr>
          <w:rFonts w:ascii="Times New Roman" w:hAnsi="Times New Roman" w:eastAsia="方正黑体_GBK" w:cs="Times New Roman"/>
          <w:kern w:val="0"/>
          <w:sz w:val="28"/>
          <w:szCs w:val="28"/>
        </w:rPr>
        <w:t>竞争性比选文件</w:t>
      </w:r>
      <w:bookmarkEnd w:id="88"/>
      <w:bookmarkEnd w:id="89"/>
      <w:bookmarkEnd w:id="90"/>
      <w:bookmarkEnd w:id="91"/>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（一）竞争性比选文件由竞争性比选公告、项目服务需求、供应商须知、项目商务需求、比选程序及方法、评审标准、无效响应和采购终止、供应商须知、响应文件编制要求六部分组成。</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（二）采购人所作的一切有效的书面通知、修改及补充，都是竞争性比选文件不可分割的部分。</w:t>
      </w:r>
    </w:p>
    <w:p>
      <w:pPr>
        <w:pStyle w:val="7"/>
        <w:spacing w:line="560" w:lineRule="exact"/>
        <w:ind w:firstLine="560" w:firstLineChars="200"/>
        <w:outlineLvl w:val="1"/>
        <w:rPr>
          <w:rFonts w:ascii="Times New Roman" w:hAnsi="Times New Roman" w:eastAsia="方正仿宋_GBK" w:cs="Times New Roman"/>
          <w:sz w:val="28"/>
          <w:szCs w:val="28"/>
        </w:rPr>
      </w:pPr>
      <w:bookmarkStart w:id="92" w:name="_Toc9957"/>
      <w:bookmarkStart w:id="93" w:name="_Toc23744"/>
      <w:r>
        <w:rPr>
          <w:rFonts w:ascii="Times New Roman" w:hAnsi="Times New Roman" w:eastAsia="方正仿宋_GBK" w:cs="Times New Roman"/>
          <w:sz w:val="28"/>
          <w:szCs w:val="28"/>
        </w:rPr>
        <w:t>（三）竞争性比选文件的解释</w:t>
      </w:r>
      <w:bookmarkEnd w:id="92"/>
      <w:bookmarkEnd w:id="93"/>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供应商如对竞争性比选文件有疑问，必须以书面形式在</w:t>
      </w:r>
      <w:bookmarkStart w:id="94" w:name="OLE_LINK1"/>
      <w:r>
        <w:rPr>
          <w:rFonts w:ascii="Times New Roman" w:hAnsi="Times New Roman" w:eastAsia="方正仿宋_GBK" w:cs="Times New Roman"/>
          <w:sz w:val="28"/>
          <w:szCs w:val="28"/>
        </w:rPr>
        <w:t>提交响应文件截止时间</w:t>
      </w:r>
      <w:bookmarkEnd w:id="94"/>
      <w:r>
        <w:rPr>
          <w:rFonts w:ascii="Times New Roman" w:hAnsi="Times New Roman" w:eastAsia="方正仿宋_GBK" w:cs="Times New Roman"/>
          <w:sz w:val="28"/>
          <w:szCs w:val="28"/>
        </w:rPr>
        <w:t>3个日历日前向采购人要求澄清，采购人应于提交响应文件截止时间前2个日历日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95" w:name="_Toc318159160"/>
      <w:bookmarkStart w:id="96" w:name="_Toc318159780"/>
      <w:bookmarkStart w:id="97" w:name="_Toc318159349"/>
      <w:bookmarkStart w:id="98" w:name="_Toc318166429"/>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（四）评审的依据为竞争性比选文件和响应文件（含有效的书面承诺）。比选小组判断响应文件对竞争性比选文件的响应，仅基于响应文件本身而不靠外部证据。</w:t>
      </w:r>
    </w:p>
    <w:bookmarkEnd w:id="95"/>
    <w:bookmarkEnd w:id="96"/>
    <w:bookmarkEnd w:id="97"/>
    <w:bookmarkEnd w:id="98"/>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99" w:name="_Toc26850"/>
      <w:bookmarkStart w:id="100" w:name="_Toc27903"/>
      <w:bookmarkStart w:id="101" w:name="_Toc179714297"/>
      <w:bookmarkStart w:id="102" w:name="_Toc342913392"/>
      <w:bookmarkStart w:id="103" w:name="_Toc6709"/>
      <w:bookmarkStart w:id="104" w:name="_Toc102227318"/>
      <w:r>
        <w:rPr>
          <w:rFonts w:ascii="Times New Roman" w:hAnsi="Times New Roman" w:eastAsia="方正黑体_GBK" w:cs="Times New Roman"/>
          <w:kern w:val="0"/>
          <w:sz w:val="28"/>
          <w:szCs w:val="28"/>
        </w:rPr>
        <w:t>二、比选要求</w:t>
      </w:r>
      <w:bookmarkEnd w:id="99"/>
      <w:bookmarkEnd w:id="100"/>
      <w:bookmarkEnd w:id="101"/>
      <w:bookmarkEnd w:id="102"/>
      <w:bookmarkEnd w:id="103"/>
      <w:bookmarkEnd w:id="104"/>
    </w:p>
    <w:p>
      <w:pPr>
        <w:pStyle w:val="7"/>
        <w:spacing w:line="560" w:lineRule="exact"/>
        <w:ind w:firstLine="560" w:firstLineChars="200"/>
        <w:outlineLvl w:val="1"/>
        <w:rPr>
          <w:rFonts w:ascii="Times New Roman" w:hAnsi="Times New Roman" w:eastAsia="方正仿宋_GBK" w:cs="Times New Roman"/>
          <w:sz w:val="28"/>
          <w:szCs w:val="28"/>
        </w:rPr>
      </w:pPr>
      <w:bookmarkStart w:id="105" w:name="_Toc20006"/>
      <w:bookmarkStart w:id="106" w:name="_Toc9613"/>
      <w:r>
        <w:rPr>
          <w:rFonts w:ascii="Times New Roman" w:hAnsi="Times New Roman" w:eastAsia="方正仿宋_GBK" w:cs="Times New Roman"/>
          <w:sz w:val="28"/>
          <w:szCs w:val="28"/>
        </w:rPr>
        <w:t>（一）响应文件</w:t>
      </w:r>
      <w:bookmarkEnd w:id="105"/>
      <w:bookmarkEnd w:id="106"/>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1.供应商应当按照竞争性比选文件的要求编制响应文件，并对竞争性比选文件提出的要求和条件作出实质性响应，响应文件原则上采用软面订本，同时应编制完整的页码、目录。</w:t>
      </w:r>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2.响应文件组成</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pStyle w:val="7"/>
        <w:spacing w:line="560" w:lineRule="exact"/>
        <w:ind w:firstLine="560" w:firstLineChars="200"/>
        <w:outlineLvl w:val="1"/>
        <w:rPr>
          <w:rFonts w:ascii="Times New Roman" w:hAnsi="Times New Roman" w:eastAsia="方正仿宋_GBK" w:cs="Times New Roman"/>
          <w:sz w:val="28"/>
          <w:szCs w:val="28"/>
        </w:rPr>
      </w:pPr>
      <w:bookmarkStart w:id="107" w:name="_Toc26887"/>
      <w:bookmarkStart w:id="108" w:name="_Toc27224"/>
      <w:r>
        <w:rPr>
          <w:rFonts w:ascii="Times New Roman" w:hAnsi="Times New Roman" w:eastAsia="方正仿宋_GBK" w:cs="Times New Roman"/>
          <w:sz w:val="28"/>
          <w:szCs w:val="28"/>
        </w:rPr>
        <w:t>（二）联合体</w:t>
      </w:r>
      <w:bookmarkEnd w:id="107"/>
      <w:bookmarkEnd w:id="108"/>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本项目不接受联合体投标。</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（三）比选有效期：响应文件及有关承诺文件有效期为提交响应文件截止时间起90天。</w:t>
      </w:r>
    </w:p>
    <w:p>
      <w:pPr>
        <w:pStyle w:val="7"/>
        <w:spacing w:line="560" w:lineRule="exact"/>
        <w:ind w:firstLine="560" w:firstLineChars="200"/>
        <w:outlineLvl w:val="1"/>
        <w:rPr>
          <w:rFonts w:ascii="Times New Roman" w:hAnsi="Times New Roman" w:eastAsia="方正仿宋_GBK" w:cs="Times New Roman"/>
          <w:sz w:val="28"/>
          <w:szCs w:val="28"/>
        </w:rPr>
      </w:pPr>
      <w:bookmarkStart w:id="109" w:name="_Toc16729"/>
      <w:bookmarkStart w:id="110" w:name="_Toc25472"/>
      <w:r>
        <w:rPr>
          <w:rFonts w:ascii="Times New Roman" w:hAnsi="Times New Roman" w:eastAsia="方正仿宋_GBK" w:cs="Times New Roman"/>
          <w:sz w:val="28"/>
          <w:szCs w:val="28"/>
        </w:rPr>
        <w:t>（四）修正错误</w:t>
      </w:r>
      <w:bookmarkEnd w:id="109"/>
      <w:bookmarkEnd w:id="110"/>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1.若供应商所递交的响应文件或最后报价中的价格出现大写金额和小写金额不一致的错误，以大写金额修正为准。</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2.比选小组按上述修正错误的原则及方法修正供应商的报价，供应商同意并签字确认后，修正后的报价对供应商具有约束作用。如果供应商不接受修正后的价格，将失去成为中标供应商的资格。</w:t>
      </w:r>
    </w:p>
    <w:p>
      <w:pPr>
        <w:pStyle w:val="7"/>
        <w:spacing w:line="560" w:lineRule="exact"/>
        <w:ind w:firstLine="560" w:firstLineChars="200"/>
        <w:outlineLvl w:val="1"/>
        <w:rPr>
          <w:rFonts w:ascii="Times New Roman" w:hAnsi="Times New Roman" w:eastAsia="方正仿宋_GBK" w:cs="Times New Roman"/>
          <w:sz w:val="28"/>
          <w:szCs w:val="28"/>
        </w:rPr>
      </w:pPr>
      <w:bookmarkStart w:id="111" w:name="_Toc14751"/>
      <w:bookmarkStart w:id="112" w:name="_Toc2162"/>
      <w:r>
        <w:rPr>
          <w:rFonts w:ascii="Times New Roman" w:hAnsi="Times New Roman" w:eastAsia="方正仿宋_GBK" w:cs="Times New Roman"/>
          <w:sz w:val="28"/>
          <w:szCs w:val="28"/>
        </w:rPr>
        <w:t>（五）提交响应文件的份数和签署</w:t>
      </w:r>
      <w:bookmarkEnd w:id="111"/>
      <w:bookmarkEnd w:id="112"/>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2.在响应文件正本中，竞争性比选文件第六篇响应文件编制要求中规定签字、盖章的地方必须按其规定签字、盖章。</w:t>
      </w:r>
    </w:p>
    <w:p>
      <w:pPr>
        <w:pStyle w:val="7"/>
        <w:spacing w:line="560" w:lineRule="exact"/>
        <w:ind w:firstLine="560" w:firstLineChars="200"/>
        <w:outlineLvl w:val="1"/>
        <w:rPr>
          <w:rFonts w:ascii="Times New Roman" w:hAnsi="Times New Roman" w:eastAsia="方正仿宋_GBK" w:cs="Times New Roman"/>
          <w:sz w:val="28"/>
          <w:szCs w:val="28"/>
        </w:rPr>
      </w:pPr>
      <w:bookmarkStart w:id="113" w:name="_Toc27116"/>
      <w:bookmarkStart w:id="114" w:name="_Toc8749"/>
      <w:r>
        <w:rPr>
          <w:rFonts w:ascii="Times New Roman" w:hAnsi="Times New Roman" w:eastAsia="方正仿宋_GBK" w:cs="Times New Roman"/>
          <w:sz w:val="28"/>
          <w:szCs w:val="28"/>
        </w:rPr>
        <w:t>（六）响应文件的递交</w:t>
      </w:r>
      <w:bookmarkEnd w:id="113"/>
      <w:bookmarkEnd w:id="114"/>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1.响应文件的密封与标记</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1.1响应文件的正本、副本以及电子文档均应密封送达比选地点，应在封套上注明比选项目名称、供应商名称。若正本、副本以及电子文档分别进行密封的，还应在封套上注明“正本”、“副本”、“电子文档”字样。</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1.2封套的封口处应加盖供应商公章或由法定代表人授权代表签字。</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2.如果未按上述规定进行密封和标记，采购人对响应文件误投、丢失或提前拆封不负责任。</w:t>
      </w:r>
    </w:p>
    <w:p>
      <w:pPr>
        <w:pStyle w:val="7"/>
        <w:spacing w:line="560" w:lineRule="exact"/>
        <w:ind w:firstLine="560" w:firstLineChars="200"/>
        <w:outlineLvl w:val="1"/>
        <w:rPr>
          <w:rFonts w:ascii="Times New Roman" w:hAnsi="Times New Roman" w:eastAsia="方正仿宋_GBK" w:cs="Times New Roman"/>
          <w:sz w:val="28"/>
          <w:szCs w:val="28"/>
        </w:rPr>
      </w:pPr>
      <w:bookmarkStart w:id="115" w:name="_Toc10842"/>
      <w:bookmarkStart w:id="116" w:name="_Toc6839"/>
      <w:r>
        <w:rPr>
          <w:rFonts w:ascii="Times New Roman" w:hAnsi="Times New Roman" w:eastAsia="方正仿宋_GBK" w:cs="Times New Roman"/>
          <w:sz w:val="28"/>
          <w:szCs w:val="28"/>
        </w:rPr>
        <w:t>（七）供应商参与人员</w:t>
      </w:r>
      <w:bookmarkEnd w:id="115"/>
      <w:bookmarkEnd w:id="116"/>
    </w:p>
    <w:p>
      <w:pPr>
        <w:snapToGrid w:val="0"/>
        <w:spacing w:line="560" w:lineRule="exact"/>
        <w:ind w:firstLine="560" w:firstLineChars="200"/>
        <w:rPr>
          <w:rFonts w:ascii="Times New Roman" w:hAnsi="Times New Roman" w:eastAsia="方正仿宋_GBK" w:cs="Times New Roman"/>
          <w:sz w:val="28"/>
          <w:szCs w:val="28"/>
          <w:highlight w:val="yellow"/>
        </w:rPr>
      </w:pPr>
      <w:bookmarkStart w:id="117" w:name="_Toc28395"/>
      <w:bookmarkStart w:id="118" w:name="_Toc5990"/>
      <w:r>
        <w:rPr>
          <w:rFonts w:ascii="Times New Roman" w:hAnsi="Times New Roman" w:eastAsia="方正仿宋_GBK" w:cs="Times New Roman"/>
          <w:sz w:val="28"/>
          <w:szCs w:val="28"/>
        </w:rPr>
        <w:t>法定代表人或其授权代表人。</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19" w:name="_Toc30262"/>
      <w:r>
        <w:rPr>
          <w:rFonts w:ascii="Times New Roman" w:hAnsi="Times New Roman" w:eastAsia="方正黑体_GBK" w:cs="Times New Roman"/>
          <w:kern w:val="0"/>
          <w:sz w:val="28"/>
          <w:szCs w:val="28"/>
        </w:rPr>
        <w:t>三、中标供应商的确认和变更</w:t>
      </w:r>
      <w:bookmarkEnd w:id="117"/>
      <w:bookmarkEnd w:id="118"/>
      <w:bookmarkEnd w:id="119"/>
    </w:p>
    <w:p>
      <w:pPr>
        <w:pStyle w:val="7"/>
        <w:spacing w:line="560" w:lineRule="exact"/>
        <w:ind w:firstLine="560" w:firstLineChars="200"/>
        <w:outlineLvl w:val="1"/>
        <w:rPr>
          <w:rFonts w:ascii="Times New Roman" w:hAnsi="Times New Roman" w:eastAsia="方正仿宋_GBK" w:cs="Times New Roman"/>
          <w:sz w:val="28"/>
          <w:szCs w:val="28"/>
        </w:rPr>
      </w:pPr>
      <w:bookmarkStart w:id="120" w:name="_Toc22130"/>
      <w:bookmarkStart w:id="121" w:name="_Toc16712"/>
      <w:r>
        <w:rPr>
          <w:rFonts w:ascii="Times New Roman" w:hAnsi="Times New Roman" w:eastAsia="方正仿宋_GBK" w:cs="Times New Roman"/>
          <w:sz w:val="28"/>
          <w:szCs w:val="28"/>
        </w:rPr>
        <w:t>（一）中标供应商的确认</w:t>
      </w:r>
      <w:bookmarkEnd w:id="120"/>
      <w:bookmarkEnd w:id="121"/>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采购人在收到评审报告后5个工作日内，从评审报告提出的中标候选供应商中，按照排序由高到低的原则确定中标供应商。</w:t>
      </w:r>
    </w:p>
    <w:p>
      <w:pPr>
        <w:pStyle w:val="7"/>
        <w:spacing w:line="560" w:lineRule="exact"/>
        <w:ind w:firstLine="560" w:firstLineChars="200"/>
        <w:outlineLvl w:val="1"/>
        <w:rPr>
          <w:rFonts w:ascii="Times New Roman" w:hAnsi="Times New Roman" w:eastAsia="方正仿宋_GBK" w:cs="Times New Roman"/>
          <w:sz w:val="28"/>
          <w:szCs w:val="28"/>
        </w:rPr>
      </w:pPr>
      <w:bookmarkStart w:id="122" w:name="_Toc4561"/>
      <w:bookmarkStart w:id="123" w:name="_Toc11244"/>
      <w:r>
        <w:rPr>
          <w:rFonts w:ascii="Times New Roman" w:hAnsi="Times New Roman" w:eastAsia="方正仿宋_GBK" w:cs="Times New Roman"/>
          <w:sz w:val="28"/>
          <w:szCs w:val="28"/>
        </w:rPr>
        <w:t>（二）中标供应商的变更</w:t>
      </w:r>
      <w:bookmarkEnd w:id="122"/>
      <w:bookmarkEnd w:id="123"/>
    </w:p>
    <w:p>
      <w:pPr>
        <w:pStyle w:val="7"/>
        <w:spacing w:line="560" w:lineRule="exact"/>
        <w:ind w:firstLine="560" w:firstLineChars="200"/>
        <w:rPr>
          <w:rFonts w:ascii="Times New Roman" w:hAnsi="Times New Roman" w:eastAsia="方正仿宋_GBK" w:cs="Times New Roman"/>
          <w:sz w:val="28"/>
          <w:szCs w:val="28"/>
        </w:rPr>
      </w:pPr>
      <w:bookmarkStart w:id="124" w:name="_Toc17314"/>
      <w:bookmarkStart w:id="125" w:name="_Toc102227321"/>
      <w:bookmarkStart w:id="126" w:name="_Toc342913395"/>
      <w:r>
        <w:rPr>
          <w:rFonts w:ascii="Times New Roman" w:hAnsi="Times New Roman" w:eastAsia="方正仿宋_GBK" w:cs="Times New Roman"/>
          <w:sz w:val="28"/>
          <w:szCs w:val="28"/>
        </w:rPr>
        <w:t>1.中标供应商拒绝签订合同的，采购人可以按照评审报告推荐的中标候选人顺序，确定排名下一位的候选人为中标供应商，也可以重新开展采购活动。拒绝签订采购合同的中标供应商不得参加对该项目重新开展的采购活动。</w:t>
      </w:r>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2.中标供应商无充分理由放弃中标的，采购人将其列入黑名单。</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3.若查实中标供应商在响应文件中提供虚假材料骗取中标的，采购人将取消其中标资格，并将其列入黑名单。</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27" w:name="_Toc27559"/>
      <w:bookmarkStart w:id="128" w:name="_Toc32545"/>
      <w:r>
        <w:rPr>
          <w:rFonts w:ascii="Times New Roman" w:hAnsi="Times New Roman" w:eastAsia="方正黑体_GBK" w:cs="Times New Roman"/>
          <w:kern w:val="0"/>
          <w:sz w:val="28"/>
          <w:szCs w:val="28"/>
        </w:rPr>
        <w:t>四、中标通知</w:t>
      </w:r>
      <w:bookmarkEnd w:id="124"/>
      <w:bookmarkEnd w:id="125"/>
      <w:bookmarkEnd w:id="126"/>
      <w:bookmarkEnd w:id="127"/>
      <w:bookmarkEnd w:id="128"/>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（一）中标供应商确定后，采购人将在金凤实验室官网（http://www.jflab.ac.cn）发布中标结果公告。</w:t>
      </w:r>
    </w:p>
    <w:p>
      <w:pPr>
        <w:pStyle w:val="7"/>
        <w:spacing w:line="560" w:lineRule="exact"/>
        <w:ind w:firstLine="560" w:firstLineChars="200"/>
        <w:outlineLvl w:val="1"/>
        <w:rPr>
          <w:rFonts w:ascii="Times New Roman" w:hAnsi="Times New Roman" w:eastAsia="方正仿宋_GBK" w:cs="Times New Roman"/>
          <w:sz w:val="28"/>
          <w:szCs w:val="28"/>
        </w:rPr>
      </w:pPr>
      <w:bookmarkStart w:id="129" w:name="_Toc16723"/>
      <w:bookmarkStart w:id="130" w:name="_Toc6600"/>
      <w:r>
        <w:rPr>
          <w:rFonts w:ascii="Times New Roman" w:hAnsi="Times New Roman" w:eastAsia="方正仿宋_GBK" w:cs="Times New Roman"/>
          <w:sz w:val="28"/>
          <w:szCs w:val="28"/>
        </w:rPr>
        <w:t>（二）中标结果公告将作为签订合同的依据。</w:t>
      </w:r>
      <w:bookmarkEnd w:id="129"/>
      <w:bookmarkEnd w:id="130"/>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31" w:name="_Toc18998"/>
      <w:bookmarkStart w:id="132" w:name="_Toc31869"/>
      <w:bookmarkStart w:id="133" w:name="_Toc17065"/>
      <w:r>
        <w:rPr>
          <w:rFonts w:ascii="Times New Roman" w:hAnsi="Times New Roman" w:eastAsia="方正黑体_GBK" w:cs="Times New Roman"/>
          <w:kern w:val="0"/>
          <w:sz w:val="28"/>
          <w:szCs w:val="28"/>
        </w:rPr>
        <w:t>五、关于质疑和投诉</w:t>
      </w:r>
      <w:bookmarkEnd w:id="131"/>
      <w:bookmarkEnd w:id="132"/>
      <w:bookmarkEnd w:id="133"/>
    </w:p>
    <w:p>
      <w:pPr>
        <w:pStyle w:val="7"/>
        <w:spacing w:line="560" w:lineRule="exact"/>
        <w:ind w:firstLine="560" w:firstLineChars="200"/>
        <w:outlineLvl w:val="1"/>
        <w:rPr>
          <w:rFonts w:ascii="Times New Roman" w:hAnsi="Times New Roman" w:eastAsia="方正仿宋_GBK" w:cs="Times New Roman"/>
          <w:sz w:val="28"/>
          <w:szCs w:val="28"/>
        </w:rPr>
      </w:pPr>
      <w:bookmarkStart w:id="134" w:name="_Toc51"/>
      <w:bookmarkStart w:id="135" w:name="_Toc15274"/>
      <w:bookmarkStart w:id="136" w:name="_Toc102227322"/>
      <w:bookmarkStart w:id="137" w:name="_Toc342913396"/>
      <w:bookmarkStart w:id="138" w:name="_Toc28822"/>
      <w:r>
        <w:rPr>
          <w:rFonts w:ascii="Times New Roman" w:hAnsi="Times New Roman" w:eastAsia="方正仿宋_GBK" w:cs="Times New Roman"/>
          <w:sz w:val="28"/>
          <w:szCs w:val="28"/>
        </w:rPr>
        <w:t>（一）质疑</w:t>
      </w:r>
      <w:bookmarkEnd w:id="134"/>
      <w:bookmarkEnd w:id="135"/>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供应商认为采购文件、采购过程和中标结果使自己的权益收到伤害的，可向采购人以书面形式提出质疑。</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提出质疑的应当是参与所质疑项目采购活动的供应商。 </w:t>
      </w:r>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1.质疑时限、内容</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1.1供应商认为采购文件、采购过程、中标结果使自己的权益受到损害的，可以在知道或者应知其权益受到损害之日起3个工作日内，以书面形式向采购人提出质疑。</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1.2供应商提出质疑应当提交质疑函和必要的证明材料，质疑函应当包括下列内容：</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1.2.1供应商的姓名或者名称、地址、邮编、联系人及联系电话；</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1.2.2质疑项目的项目名称、项目编号以及采购执行编号；</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1.2.3具体、明确的质疑事项和与质疑事项相关的请求；</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1.2.4事实依据；</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1.2.5必要的法律依据；（本项目不属于政府采购项目，不适用《中华人民共和国政府采购法》及其实施条例的有关规定。）</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1.2.6提出质疑的日期；</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1.2.7营业执照（或事业单位法人证书，或个体工商户营业执照或有效的自然人身份证明）复印件；</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1.2.8法定代表人授权委托书原件、法定代表人身份证复印件和其授权代表的身份证复印件（供应商为自然人的提供自然人身份证复印件）；</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1.3供应商为自然人的，质疑函应当由本人签字；供应商为法人或者其他组织的，质疑函应当由法定代表人、主要负责人，或者其授权代表签字或者盖章，并加盖公章。</w:t>
      </w:r>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2.质疑答复</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采购人应当在收到供应商的书面质疑后七个工作日内作出答复。</w:t>
      </w:r>
    </w:p>
    <w:p>
      <w:pPr>
        <w:pStyle w:val="7"/>
        <w:spacing w:line="560" w:lineRule="exact"/>
        <w:ind w:firstLine="560" w:firstLineChars="200"/>
        <w:outlineLvl w:val="1"/>
        <w:rPr>
          <w:rFonts w:ascii="Times New Roman" w:hAnsi="Times New Roman" w:eastAsia="方正仿宋_GBK" w:cs="Times New Roman"/>
          <w:sz w:val="28"/>
          <w:szCs w:val="28"/>
        </w:rPr>
      </w:pPr>
      <w:bookmarkStart w:id="139" w:name="_Toc18354"/>
      <w:bookmarkStart w:id="140" w:name="_Toc3439"/>
      <w:r>
        <w:rPr>
          <w:rFonts w:ascii="Times New Roman" w:hAnsi="Times New Roman" w:eastAsia="方正仿宋_GBK" w:cs="Times New Roman"/>
          <w:sz w:val="28"/>
          <w:szCs w:val="28"/>
        </w:rPr>
        <w:t>（二）投诉</w:t>
      </w:r>
      <w:bookmarkEnd w:id="139"/>
      <w:bookmarkEnd w:id="140"/>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1.供应商对采购人的答复不满意，或者采购人未在规定时间内作出答复的，可以在答复期满后7个工作日内向金凤实验室党群工作部提起投诉（联系方式：窦老师，023-68059905）。</w:t>
      </w:r>
    </w:p>
    <w:p>
      <w:pPr>
        <w:pStyle w:val="7"/>
        <w:spacing w:line="560" w:lineRule="exact"/>
        <w:ind w:firstLine="560" w:firstLineChars="200"/>
        <w:outlineLvl w:val="2"/>
        <w:rPr>
          <w:rFonts w:ascii="Times New Roman" w:hAnsi="Times New Roman" w:eastAsia="方正仿宋_GBK" w:cs="Times New Roman"/>
          <w:sz w:val="28"/>
          <w:szCs w:val="28"/>
        </w:rPr>
      </w:pPr>
      <w:r>
        <w:rPr>
          <w:rFonts w:ascii="Times New Roman" w:hAnsi="Times New Roman" w:eastAsia="方正仿宋_GBK" w:cs="Times New Roman"/>
          <w:sz w:val="28"/>
          <w:szCs w:val="28"/>
        </w:rPr>
        <w:t>2.供应商应递交投诉书和必要的证明材料。</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3.在确定受理投诉后，金凤实验室党群工作部负责人自受理投诉之日起30个工作日内，应组织相应部门对被投诉事项进行核查，并对投诉事项做出处理决定（需要检验、检测、鉴定、专家评审以及需要投诉人补正材料的，所需时间不计算在投诉处理期限内）。</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41" w:name="_Toc27293"/>
      <w:bookmarkStart w:id="142" w:name="_Toc23218"/>
      <w:r>
        <w:rPr>
          <w:rFonts w:ascii="Times New Roman" w:hAnsi="Times New Roman" w:eastAsia="方正黑体_GBK" w:cs="Times New Roman"/>
          <w:kern w:val="0"/>
          <w:sz w:val="28"/>
          <w:szCs w:val="28"/>
        </w:rPr>
        <w:t>六、签订</w:t>
      </w:r>
      <w:bookmarkEnd w:id="136"/>
      <w:r>
        <w:rPr>
          <w:rFonts w:ascii="Times New Roman" w:hAnsi="Times New Roman" w:eastAsia="方正黑体_GBK" w:cs="Times New Roman"/>
          <w:kern w:val="0"/>
          <w:sz w:val="28"/>
          <w:szCs w:val="28"/>
        </w:rPr>
        <w:t>合同</w:t>
      </w:r>
      <w:bookmarkEnd w:id="137"/>
      <w:bookmarkEnd w:id="138"/>
      <w:bookmarkEnd w:id="141"/>
      <w:bookmarkEnd w:id="142"/>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采购人应当自中标通知书发出之日起三十日内，按照竞争性比选文件和中标供应商响应文件的约定，与中标供应商签订书面合同。所签订的合同不得对竞争性比选文件和供应商的响应文件作实质性修改。其他未尽事宜由采购人和中标供应商在采购合同中详细约定。</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（二）竞争性比选文件、供应商的响应文件及澄清文件等，均为签订合同的依据。</w:t>
      </w:r>
    </w:p>
    <w:p>
      <w:pPr>
        <w:pStyle w:val="7"/>
        <w:spacing w:line="560" w:lineRule="exact"/>
        <w:ind w:firstLine="560" w:firstLineChars="200"/>
        <w:outlineLvl w:val="1"/>
        <w:rPr>
          <w:rFonts w:ascii="Times New Roman" w:hAnsi="Times New Roman" w:eastAsia="方正仿宋_GBK" w:cs="Times New Roman"/>
          <w:sz w:val="28"/>
          <w:szCs w:val="28"/>
        </w:rPr>
      </w:pPr>
      <w:bookmarkStart w:id="143" w:name="_Toc95"/>
      <w:bookmarkStart w:id="144" w:name="_Toc6552"/>
      <w:r>
        <w:rPr>
          <w:rFonts w:ascii="Times New Roman" w:hAnsi="Times New Roman" w:eastAsia="方正仿宋_GBK" w:cs="Times New Roman"/>
          <w:sz w:val="28"/>
          <w:szCs w:val="28"/>
        </w:rPr>
        <w:t>（三）合同生效条款由供需双方约定。</w:t>
      </w:r>
      <w:bookmarkEnd w:id="143"/>
      <w:bookmarkEnd w:id="144"/>
    </w:p>
    <w:p>
      <w:pPr>
        <w:rPr>
          <w:rFonts w:ascii="Times New Roman" w:hAnsi="Times New Roman" w:eastAsia="黑体" w:cs="Times New Roman"/>
          <w:sz w:val="32"/>
          <w:szCs w:val="32"/>
        </w:rPr>
      </w:pPr>
      <w:r>
        <w:rPr>
          <w:rFonts w:ascii="Times New Roman" w:hAnsi="Times New Roman" w:eastAsia="方正仿宋_GBK" w:cs="Times New Roman"/>
          <w:sz w:val="24"/>
          <w:szCs w:val="24"/>
        </w:rPr>
        <w:t xml:space="preserve">  </w:t>
      </w:r>
      <w:bookmarkStart w:id="145" w:name="_Toc96412729"/>
      <w:bookmarkStart w:id="146" w:name="_Toc82880049"/>
    </w:p>
    <w:bookmarkEnd w:id="145"/>
    <w:bookmarkEnd w:id="146"/>
    <w:p>
      <w:pPr>
        <w:pStyle w:val="10"/>
        <w:jc w:val="both"/>
        <w:rPr>
          <w:rFonts w:ascii="Times New Roman" w:hAnsi="Times New Roman" w:cs="Times New Roman"/>
        </w:rPr>
      </w:pPr>
    </w:p>
    <w:bookmarkEnd w:id="83"/>
    <w:bookmarkEnd w:id="84"/>
    <w:p>
      <w:pPr>
        <w:pStyle w:val="4"/>
        <w:spacing w:before="0" w:after="0" w:line="560" w:lineRule="exact"/>
        <w:jc w:val="center"/>
        <w:rPr>
          <w:rFonts w:ascii="Times New Roman" w:hAnsi="Times New Roman" w:cs="Times New Roman"/>
          <w:b w:val="0"/>
          <w:color w:val="000000"/>
          <w:szCs w:val="32"/>
        </w:rPr>
      </w:pPr>
      <w:bookmarkStart w:id="147" w:name="_Toc23823"/>
      <w:bookmarkStart w:id="148" w:name="_Toc12789072"/>
      <w:bookmarkStart w:id="149" w:name="_Toc27255"/>
      <w:bookmarkStart w:id="150" w:name="_Toc96412731"/>
      <w:bookmarkStart w:id="151" w:name="_Toc10088"/>
      <w:r>
        <w:rPr>
          <w:rFonts w:ascii="Times New Roman" w:hAnsi="Times New Roman" w:cs="Times New Roman"/>
          <w:b w:val="0"/>
          <w:color w:val="000000"/>
          <w:szCs w:val="32"/>
        </w:rPr>
        <w:t>第六篇  响应文件格式要求</w:t>
      </w:r>
      <w:bookmarkEnd w:id="147"/>
      <w:bookmarkEnd w:id="148"/>
      <w:bookmarkEnd w:id="149"/>
      <w:bookmarkEnd w:id="150"/>
      <w:bookmarkEnd w:id="151"/>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52" w:name="_Toc16632"/>
      <w:bookmarkStart w:id="153" w:name="_Toc26830"/>
      <w:r>
        <w:rPr>
          <w:rFonts w:ascii="Times New Roman" w:hAnsi="Times New Roman" w:eastAsia="方正黑体_GBK" w:cs="Times New Roman"/>
          <w:kern w:val="0"/>
          <w:sz w:val="28"/>
          <w:szCs w:val="28"/>
        </w:rPr>
        <w:t>一、经济部分</w:t>
      </w:r>
      <w:bookmarkEnd w:id="152"/>
      <w:bookmarkEnd w:id="153"/>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（一）竞争性报价函</w:t>
      </w:r>
    </w:p>
    <w:p>
      <w:pPr>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（二）明细价格表</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54" w:name="_Toc17676"/>
      <w:bookmarkStart w:id="155" w:name="_Toc20081"/>
      <w:r>
        <w:rPr>
          <w:rFonts w:ascii="Times New Roman" w:hAnsi="Times New Roman" w:eastAsia="方正黑体_GBK" w:cs="Times New Roman"/>
          <w:kern w:val="0"/>
          <w:sz w:val="28"/>
          <w:szCs w:val="28"/>
        </w:rPr>
        <w:t>二、资格条件及其他</w:t>
      </w:r>
      <w:bookmarkEnd w:id="154"/>
      <w:bookmarkEnd w:id="155"/>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（一）法人营业执照（副本）或事业单位法人证书（副本）或个体工商户营业执照或有效的自然人身份证明或社会团体法人登记证书</w:t>
      </w:r>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（二）法定代表人身份证明书（格式）</w:t>
      </w:r>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（三）法定代表人授权委托书（格式）</w:t>
      </w:r>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（四）2020年度到2022年度财务状况报告（表）或其基本开户银行出具的资信证明复印件，本年度新成立或成立不满一年的组织和自然人无法提供财务状况报告（表）的，可提供银行出具的资信证明复印件。</w:t>
      </w:r>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（五）书面声明（格式）</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（六）税务登记证（副本）复印件和社会保险缴纳证明材料</w:t>
      </w:r>
    </w:p>
    <w:p>
      <w:pPr>
        <w:pStyle w:val="7"/>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pStyle w:val="7"/>
        <w:spacing w:line="560" w:lineRule="exact"/>
        <w:ind w:firstLine="560" w:firstLineChars="200"/>
        <w:outlineLvl w:val="1"/>
        <w:rPr>
          <w:rFonts w:ascii="Times New Roman" w:hAnsi="Times New Roman" w:eastAsia="方正仿宋_GBK" w:cs="Times New Roman"/>
          <w:sz w:val="28"/>
          <w:szCs w:val="28"/>
        </w:rPr>
      </w:pPr>
      <w:bookmarkStart w:id="156" w:name="_Toc17205"/>
      <w:bookmarkStart w:id="157" w:name="_Toc24388"/>
      <w:r>
        <w:rPr>
          <w:rFonts w:ascii="Times New Roman" w:hAnsi="Times New Roman" w:eastAsia="方正仿宋_GBK" w:cs="Times New Roman"/>
          <w:sz w:val="28"/>
          <w:szCs w:val="28"/>
        </w:rPr>
        <w:t>（七）特定资格条件证书或证明文件</w:t>
      </w:r>
      <w:bookmarkEnd w:id="156"/>
      <w:bookmarkEnd w:id="157"/>
    </w:p>
    <w:p>
      <w:pPr>
        <w:snapToGrid w:val="0"/>
        <w:spacing w:line="56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说明：供应商按“多证合一”登记制度办理营业执照的，税务登记证（副本）和社会保险登记证以供应商所提供的营业执照（副本）复印件为准。</w:t>
      </w:r>
    </w:p>
    <w:p>
      <w:pPr>
        <w:snapToGrid w:val="0"/>
        <w:spacing w:line="560" w:lineRule="exact"/>
        <w:ind w:firstLine="560" w:firstLineChars="200"/>
        <w:outlineLvl w:val="0"/>
        <w:rPr>
          <w:rFonts w:ascii="Times New Roman" w:hAnsi="Times New Roman" w:eastAsia="方正黑体_GBK" w:cs="Times New Roman"/>
          <w:kern w:val="0"/>
          <w:sz w:val="28"/>
          <w:szCs w:val="28"/>
        </w:rPr>
      </w:pPr>
      <w:bookmarkStart w:id="158" w:name="_Toc29571"/>
      <w:bookmarkStart w:id="159" w:name="_Toc31125"/>
      <w:r>
        <w:rPr>
          <w:rFonts w:ascii="Times New Roman" w:hAnsi="Times New Roman" w:eastAsia="方正黑体_GBK" w:cs="Times New Roman"/>
          <w:kern w:val="0"/>
          <w:sz w:val="28"/>
          <w:szCs w:val="28"/>
        </w:rPr>
        <w:t>三、其他资料</w:t>
      </w:r>
      <w:bookmarkEnd w:id="158"/>
      <w:bookmarkEnd w:id="159"/>
    </w:p>
    <w:p>
      <w:pPr>
        <w:spacing w:line="560" w:lineRule="exact"/>
        <w:ind w:firstLine="560" w:firstLineChars="200"/>
        <w:outlineLvl w:val="1"/>
        <w:rPr>
          <w:rFonts w:ascii="Times New Roman" w:hAnsi="Times New Roman" w:eastAsia="方正仿宋_GBK" w:cs="Times New Roman"/>
          <w:sz w:val="28"/>
          <w:szCs w:val="28"/>
        </w:rPr>
      </w:pPr>
      <w:bookmarkStart w:id="160" w:name="_Toc26674"/>
      <w:bookmarkStart w:id="161" w:name="_Toc30698"/>
      <w:r>
        <w:rPr>
          <w:rFonts w:ascii="Times New Roman" w:hAnsi="Times New Roman" w:eastAsia="方正仿宋_GBK" w:cs="Times New Roman"/>
          <w:sz w:val="28"/>
          <w:szCs w:val="28"/>
        </w:rPr>
        <w:t>（一）其他与项目有关的资料（自附）</w:t>
      </w:r>
      <w:bookmarkEnd w:id="160"/>
      <w:bookmarkEnd w:id="161"/>
    </w:p>
    <w:p>
      <w:pPr>
        <w:snapToGrid w:val="0"/>
        <w:spacing w:line="560" w:lineRule="exact"/>
        <w:rPr>
          <w:rFonts w:ascii="Times New Roman" w:hAnsi="Times New Roman" w:eastAsia="方正仿宋_GBK" w:cs="Times New Roman"/>
          <w:sz w:val="28"/>
          <w:szCs w:val="28"/>
        </w:rPr>
        <w:sectPr>
          <w:footerReference r:id="rId13" w:type="default"/>
          <w:footerReference r:id="rId14" w:type="even"/>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ascii="Times New Roman" w:hAnsi="Times New Roman" w:eastAsia="方正仿宋_GBK" w:cs="Times New Roman"/>
          <w:sz w:val="24"/>
        </w:rPr>
      </w:pPr>
      <w:bookmarkStart w:id="162" w:name="_Toc313888360"/>
      <w:bookmarkStart w:id="163" w:name="_Toc342913419"/>
      <w:bookmarkStart w:id="164" w:name="_Toc10670"/>
      <w:bookmarkStart w:id="165" w:name="_Toc9134"/>
      <w:bookmarkStart w:id="166" w:name="_Toc16366"/>
      <w:bookmarkStart w:id="167" w:name="_Toc9100"/>
      <w:bookmarkStart w:id="168" w:name="_Toc313008356"/>
      <w:bookmarkStart w:id="169" w:name="_Toc12789073"/>
      <w:bookmarkStart w:id="170" w:name="_Toc283382454"/>
      <w:r>
        <w:rPr>
          <w:rFonts w:ascii="Times New Roman" w:hAnsi="Times New Roman" w:eastAsia="方正仿宋_GBK" w:cs="Times New Roman"/>
          <w:sz w:val="24"/>
        </w:rPr>
        <w:t>一、经济部分</w:t>
      </w:r>
      <w:bookmarkEnd w:id="162"/>
      <w:bookmarkEnd w:id="163"/>
      <w:bookmarkEnd w:id="164"/>
      <w:bookmarkEnd w:id="165"/>
      <w:bookmarkEnd w:id="166"/>
      <w:bookmarkEnd w:id="167"/>
      <w:bookmarkEnd w:id="168"/>
    </w:p>
    <w:bookmarkEnd w:id="169"/>
    <w:bookmarkEnd w:id="170"/>
    <w:p>
      <w:pPr>
        <w:spacing w:line="400" w:lineRule="exact"/>
        <w:ind w:firstLine="480" w:firstLineChars="200"/>
        <w:outlineLvl w:val="1"/>
        <w:rPr>
          <w:rFonts w:ascii="Times New Roman" w:hAnsi="Times New Roman" w:eastAsia="方正仿宋_GBK" w:cs="Times New Roman"/>
          <w:sz w:val="24"/>
          <w:szCs w:val="24"/>
        </w:rPr>
      </w:pPr>
      <w:bookmarkStart w:id="171" w:name="_Toc23347"/>
      <w:bookmarkStart w:id="172" w:name="_Toc6829"/>
      <w:r>
        <w:rPr>
          <w:rFonts w:ascii="Times New Roman" w:hAnsi="Times New Roman" w:eastAsia="方正仿宋_GBK" w:cs="Times New Roman"/>
          <w:sz w:val="24"/>
          <w:szCs w:val="24"/>
        </w:rPr>
        <w:t>（一）竞争性报价函</w:t>
      </w:r>
      <w:bookmarkEnd w:id="171"/>
      <w:bookmarkEnd w:id="172"/>
    </w:p>
    <w:p>
      <w:pPr>
        <w:tabs>
          <w:tab w:val="left" w:pos="6300"/>
        </w:tabs>
        <w:snapToGrid w:val="0"/>
        <w:spacing w:line="312" w:lineRule="auto"/>
        <w:ind w:firstLine="422" w:firstLineChars="200"/>
        <w:jc w:val="center"/>
        <w:rPr>
          <w:rFonts w:ascii="Times New Roman" w:hAnsi="Times New Roman" w:eastAsia="方正仿宋_GBK" w:cs="Times New Roman"/>
          <w:b/>
          <w:szCs w:val="28"/>
        </w:rPr>
      </w:pPr>
      <w:r>
        <w:rPr>
          <w:rFonts w:ascii="Times New Roman" w:hAnsi="Times New Roman" w:eastAsia="方正仿宋_GBK" w:cs="Times New Roman"/>
          <w:b/>
          <w:szCs w:val="28"/>
        </w:rPr>
        <w:t>竞争性报价函</w:t>
      </w:r>
    </w:p>
    <w:p>
      <w:pPr>
        <w:tabs>
          <w:tab w:val="left" w:pos="6300"/>
        </w:tabs>
        <w:snapToGrid w:val="0"/>
        <w:spacing w:line="312" w:lineRule="auto"/>
        <w:rPr>
          <w:rFonts w:ascii="Times New Roman" w:hAnsi="Times New Roman" w:eastAsia="方正仿宋_GBK" w:cs="Times New Roman"/>
          <w:sz w:val="24"/>
          <w:szCs w:val="24"/>
        </w:rPr>
      </w:pPr>
      <w:r>
        <w:rPr>
          <w:rFonts w:ascii="Times New Roman" w:hAnsi="Times New Roman" w:eastAsia="方正仿宋_GBK" w:cs="Times New Roman"/>
          <w:sz w:val="24"/>
          <w:szCs w:val="24"/>
          <w:u w:val="single"/>
        </w:rPr>
        <w:t>（采购人名称）</w:t>
      </w:r>
      <w:r>
        <w:rPr>
          <w:rFonts w:ascii="Times New Roman" w:hAnsi="Times New Roman" w:eastAsia="方正仿宋_GBK" w:cs="Times New Roman"/>
          <w:sz w:val="24"/>
          <w:szCs w:val="24"/>
        </w:rPr>
        <w:t>：</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我方收到____________________________（比选项目名称）的竞争性比选文件，经详细研究，决定参加该比选项目的竞争比选。</w:t>
      </w:r>
    </w:p>
    <w:p>
      <w:pPr>
        <w:pStyle w:val="2"/>
        <w:rPr>
          <w:rFonts w:ascii="Times New Roman" w:hAnsi="Times New Roman" w:eastAsia="方正仿宋_GBK"/>
        </w:rPr>
      </w:pPr>
      <w:r>
        <w:rPr>
          <w:rFonts w:ascii="Times New Roman" w:hAnsi="Times New Roman" w:eastAsia="方正仿宋_GBK"/>
          <w:sz w:val="24"/>
          <w:szCs w:val="24"/>
        </w:rPr>
        <w:t xml:space="preserve">    1.完全接受并响应竞争性比选文件中“第二篇、第三篇”内容。</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2.愿意按照竞争性比选文件中的一切要求，提供本项目的交货及技术服务，项目报价（总价）为人民币大写：____元整；人民币小写：____元。</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3.我方现提交的响应文件为：响应文件正本____份，副本____份，电子文档____份。</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4.我方承诺：本次比选的有效期为提交响应文件截止时间起90天。</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5.我方完全理解和接受贵方竞争性比选文件的一切规定和要求及比选评审办法。</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6.在整个竞争性比选过程中，我方若有违规行为，接受按照《中华人民共和国政府采购法》和《竞争性比选文件》之规定给予惩罚。</w:t>
      </w:r>
    </w:p>
    <w:p>
      <w:pPr>
        <w:tabs>
          <w:tab w:val="left" w:pos="6300"/>
        </w:tabs>
        <w:snapToGrid w:val="0"/>
        <w:spacing w:line="312" w:lineRule="auto"/>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7.我方若成为中标供应商，将按照最终比选结果签订合同，并且严格履行合同义务。本承诺函将成为合同不可分割的一部分，与合同具有同等的法律效力。</w:t>
      </w:r>
    </w:p>
    <w:p>
      <w:pPr>
        <w:tabs>
          <w:tab w:val="left" w:pos="6300"/>
        </w:tabs>
        <w:snapToGrid w:val="0"/>
        <w:spacing w:line="312" w:lineRule="auto"/>
        <w:ind w:firstLine="570"/>
        <w:rPr>
          <w:rFonts w:ascii="Times New Roman" w:hAnsi="Times New Roman" w:eastAsia="方正仿宋_GBK" w:cs="Times New Roman"/>
          <w:sz w:val="24"/>
          <w:szCs w:val="24"/>
        </w:rPr>
      </w:pPr>
      <w:r>
        <w:rPr>
          <w:rFonts w:ascii="Times New Roman" w:hAnsi="Times New Roman" w:eastAsia="方正仿宋_GBK" w:cs="Times New Roman"/>
          <w:sz w:val="24"/>
          <w:szCs w:val="24"/>
        </w:rPr>
        <w:t>供应商（公章）或自然人签署：</w:t>
      </w:r>
    </w:p>
    <w:p>
      <w:pPr>
        <w:tabs>
          <w:tab w:val="left" w:pos="6300"/>
        </w:tabs>
        <w:snapToGrid w:val="0"/>
        <w:spacing w:line="312" w:lineRule="auto"/>
        <w:ind w:firstLine="570"/>
        <w:rPr>
          <w:rFonts w:ascii="Times New Roman" w:hAnsi="Times New Roman" w:eastAsia="方正仿宋_GBK" w:cs="Times New Roman"/>
          <w:sz w:val="24"/>
          <w:szCs w:val="24"/>
        </w:rPr>
      </w:pPr>
      <w:r>
        <w:rPr>
          <w:rFonts w:ascii="Times New Roman" w:hAnsi="Times New Roman" w:eastAsia="方正仿宋_GBK" w:cs="Times New Roman"/>
          <w:sz w:val="24"/>
          <w:szCs w:val="24"/>
        </w:rPr>
        <w:t xml:space="preserve">地址：  </w:t>
      </w:r>
    </w:p>
    <w:p>
      <w:pPr>
        <w:tabs>
          <w:tab w:val="left" w:pos="6300"/>
        </w:tabs>
        <w:snapToGrid w:val="0"/>
        <w:spacing w:line="312" w:lineRule="auto"/>
        <w:ind w:firstLine="570"/>
        <w:rPr>
          <w:rFonts w:ascii="Times New Roman" w:hAnsi="Times New Roman" w:eastAsia="方正仿宋_GBK" w:cs="Times New Roman"/>
          <w:sz w:val="24"/>
          <w:szCs w:val="24"/>
        </w:rPr>
      </w:pPr>
      <w:r>
        <w:rPr>
          <w:rFonts w:ascii="Times New Roman" w:hAnsi="Times New Roman" w:eastAsia="方正仿宋_GBK" w:cs="Times New Roman"/>
          <w:sz w:val="24"/>
          <w:szCs w:val="24"/>
        </w:rPr>
        <w:t>电话：                           传真：</w:t>
      </w:r>
    </w:p>
    <w:p>
      <w:pPr>
        <w:tabs>
          <w:tab w:val="left" w:pos="6300"/>
        </w:tabs>
        <w:snapToGrid w:val="0"/>
        <w:spacing w:line="312" w:lineRule="auto"/>
        <w:ind w:firstLine="570"/>
        <w:rPr>
          <w:rFonts w:ascii="Times New Roman" w:hAnsi="Times New Roman" w:eastAsia="方正仿宋_GBK" w:cs="Times New Roman"/>
          <w:sz w:val="24"/>
          <w:szCs w:val="24"/>
        </w:rPr>
      </w:pPr>
      <w:r>
        <w:rPr>
          <w:rFonts w:ascii="Times New Roman" w:hAnsi="Times New Roman" w:eastAsia="方正仿宋_GBK" w:cs="Times New Roman"/>
          <w:sz w:val="24"/>
          <w:szCs w:val="24"/>
        </w:rPr>
        <w:t>网址：                           邮编：</w:t>
      </w:r>
    </w:p>
    <w:p>
      <w:pPr>
        <w:tabs>
          <w:tab w:val="left" w:pos="6300"/>
        </w:tabs>
        <w:snapToGrid w:val="0"/>
        <w:spacing w:line="312" w:lineRule="auto"/>
        <w:ind w:firstLine="570"/>
        <w:rPr>
          <w:rFonts w:ascii="Times New Roman" w:hAnsi="Times New Roman" w:eastAsia="方正仿宋_GBK" w:cs="Times New Roman"/>
          <w:sz w:val="24"/>
          <w:szCs w:val="24"/>
        </w:rPr>
      </w:pPr>
      <w:r>
        <w:rPr>
          <w:rFonts w:ascii="Times New Roman" w:hAnsi="Times New Roman" w:eastAsia="方正仿宋_GBK" w:cs="Times New Roman"/>
          <w:sz w:val="24"/>
          <w:szCs w:val="24"/>
        </w:rPr>
        <w:t>联系人：</w:t>
      </w:r>
    </w:p>
    <w:p>
      <w:pPr>
        <w:snapToGrid w:val="0"/>
        <w:spacing w:line="312" w:lineRule="auto"/>
        <w:ind w:firstLine="480" w:firstLineChars="200"/>
        <w:rPr>
          <w:rFonts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ascii="Times New Roman" w:hAnsi="Times New Roman" w:eastAsia="方正仿宋_GBK" w:cs="Times New Roman"/>
          <w:sz w:val="24"/>
          <w:szCs w:val="24"/>
        </w:rPr>
        <w:t xml:space="preserve">                               年   月   日</w:t>
      </w:r>
    </w:p>
    <w:p>
      <w:pPr>
        <w:numPr>
          <w:ilvl w:val="0"/>
          <w:numId w:val="2"/>
        </w:numPr>
        <w:spacing w:line="400" w:lineRule="exact"/>
        <w:ind w:firstLine="480" w:firstLineChars="200"/>
        <w:outlineLvl w:val="1"/>
        <w:rPr>
          <w:rFonts w:ascii="Times New Roman" w:hAnsi="Times New Roman" w:eastAsia="方正仿宋_GBK" w:cs="Times New Roman"/>
          <w:sz w:val="24"/>
          <w:szCs w:val="24"/>
        </w:rPr>
      </w:pPr>
      <w:bookmarkStart w:id="173" w:name="_Toc11071"/>
      <w:bookmarkStart w:id="174" w:name="_Toc28904"/>
      <w:r>
        <w:rPr>
          <w:rFonts w:ascii="Times New Roman" w:hAnsi="Times New Roman" w:eastAsia="方正仿宋_GBK" w:cs="Times New Roman"/>
          <w:sz w:val="24"/>
          <w:szCs w:val="24"/>
        </w:rPr>
        <w:t>明细价格表</w:t>
      </w:r>
      <w:bookmarkEnd w:id="173"/>
      <w:bookmarkEnd w:id="174"/>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319"/>
        <w:gridCol w:w="824"/>
        <w:gridCol w:w="893"/>
        <w:gridCol w:w="1644"/>
        <w:gridCol w:w="175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序号</w:t>
            </w:r>
          </w:p>
        </w:tc>
        <w:tc>
          <w:tcPr>
            <w:tcW w:w="2319"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服务项目</w:t>
            </w:r>
          </w:p>
        </w:tc>
        <w:tc>
          <w:tcPr>
            <w:tcW w:w="824"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单位</w:t>
            </w:r>
          </w:p>
        </w:tc>
        <w:tc>
          <w:tcPr>
            <w:tcW w:w="893"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数量</w:t>
            </w:r>
          </w:p>
        </w:tc>
        <w:tc>
          <w:tcPr>
            <w:tcW w:w="1644"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单价（元）</w:t>
            </w:r>
          </w:p>
        </w:tc>
        <w:tc>
          <w:tcPr>
            <w:tcW w:w="1754"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总价（元）</w:t>
            </w:r>
          </w:p>
        </w:tc>
        <w:tc>
          <w:tcPr>
            <w:tcW w:w="1476" w:type="dxa"/>
          </w:tcPr>
          <w:p>
            <w:pPr>
              <w:pStyle w:val="12"/>
              <w:spacing w:line="600" w:lineRule="exact"/>
              <w:jc w:val="center"/>
              <w:rPr>
                <w:rFonts w:hint="default" w:ascii="Times New Roman" w:hAnsi="Times New Roman" w:eastAsia="方正仿宋_GBK" w:cs="Times New Roman"/>
                <w:b/>
                <w:bCs/>
                <w:kern w:val="2"/>
                <w:sz w:val="21"/>
                <w:szCs w:val="21"/>
              </w:rPr>
            </w:pPr>
            <w:r>
              <w:rPr>
                <w:rFonts w:hint="default" w:ascii="Times New Roman" w:hAnsi="Times New Roman" w:eastAsia="方正仿宋_GBK" w:cs="Times New Roman"/>
                <w:b/>
                <w:bCs/>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安全管理制度</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标识标牌、硬件设施检查</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3</w:t>
            </w:r>
          </w:p>
        </w:tc>
        <w:tc>
          <w:tcPr>
            <w:tcW w:w="2319"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危化品库房整改</w:t>
            </w:r>
          </w:p>
        </w:tc>
        <w:tc>
          <w:tcPr>
            <w:tcW w:w="824" w:type="dxa"/>
          </w:tcPr>
          <w:p>
            <w:pPr>
              <w:pStyle w:val="12"/>
              <w:adjustRightInd w:val="0"/>
              <w:snapToGrid w:val="0"/>
              <w:spacing w:before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2319" w:type="dxa"/>
          </w:tcPr>
          <w:p>
            <w:pPr>
              <w:pStyle w:val="12"/>
              <w:adjustRightInd w:val="0"/>
              <w:snapToGrid w:val="0"/>
              <w:spacing w:beforeLines="25" w:afterLines="25"/>
              <w:jc w:val="center"/>
              <w:rPr>
                <w:rFonts w:hint="eastAsia" w:ascii="Times New Roman" w:hAnsi="Times New Roman" w:eastAsia="方正仿宋_GBK" w:cs="Times New Roman"/>
                <w:kern w:val="2"/>
                <w:sz w:val="21"/>
                <w:szCs w:val="21"/>
                <w:lang w:eastAsia="zh-CN" w:bidi="ne-NP"/>
              </w:rPr>
            </w:pPr>
            <w:r>
              <w:rPr>
                <w:rFonts w:hint="default" w:ascii="Times New Roman" w:hAnsi="Times New Roman" w:eastAsia="方正仿宋_GBK" w:cs="Times New Roman"/>
                <w:kern w:val="2"/>
                <w:sz w:val="21"/>
                <w:szCs w:val="21"/>
                <w:lang w:bidi="ne-NP"/>
              </w:rPr>
              <w:t>安全管理</w:t>
            </w:r>
            <w:r>
              <w:rPr>
                <w:rFonts w:hint="eastAsia" w:ascii="Times New Roman" w:hAnsi="Times New Roman" w:eastAsia="方正仿宋_GBK" w:cs="Times New Roman"/>
                <w:kern w:val="2"/>
                <w:sz w:val="21"/>
                <w:szCs w:val="21"/>
                <w:lang w:val="en-US" w:eastAsia="zh-CN" w:bidi="ne-NP"/>
              </w:rPr>
              <w:t>档案</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5</w:t>
            </w:r>
          </w:p>
        </w:tc>
        <w:tc>
          <w:tcPr>
            <w:tcW w:w="2319" w:type="dxa"/>
            <w:vAlign w:val="center"/>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生产安全事故应急预案</w:t>
            </w:r>
          </w:p>
        </w:tc>
        <w:tc>
          <w:tcPr>
            <w:tcW w:w="824" w:type="dxa"/>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6</w:t>
            </w:r>
          </w:p>
        </w:tc>
        <w:tc>
          <w:tcPr>
            <w:tcW w:w="2319" w:type="dxa"/>
            <w:vAlign w:val="center"/>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突发环境事件应急预案</w:t>
            </w:r>
          </w:p>
        </w:tc>
        <w:tc>
          <w:tcPr>
            <w:tcW w:w="824" w:type="dxa"/>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7</w:t>
            </w:r>
          </w:p>
        </w:tc>
        <w:tc>
          <w:tcPr>
            <w:tcW w:w="2319" w:type="dxa"/>
            <w:vAlign w:val="center"/>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生物安全应急预案</w:t>
            </w:r>
          </w:p>
        </w:tc>
        <w:tc>
          <w:tcPr>
            <w:tcW w:w="824" w:type="dxa"/>
          </w:tcPr>
          <w:p>
            <w:pPr>
              <w:widowControl/>
              <w:adjustRightInd w:val="0"/>
              <w:snapToGrid w:val="0"/>
              <w:spacing w:beforeLines="25" w:afterLines="25"/>
              <w:jc w:val="center"/>
              <w:rPr>
                <w:rFonts w:ascii="Times New Roman" w:hAnsi="Times New Roman" w:eastAsia="方正仿宋_GBK" w:cs="Times New Roman"/>
                <w:szCs w:val="21"/>
                <w:lang w:bidi="ne-NP"/>
              </w:rPr>
            </w:pPr>
            <w:r>
              <w:rPr>
                <w:rFonts w:ascii="Times New Roman" w:hAnsi="Times New Roman" w:eastAsia="方正仿宋_GBK" w:cs="Times New Roman"/>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宋体" w:cs="Times New Roman"/>
                <w:sz w:val="28"/>
                <w:szCs w:val="28"/>
              </w:rPr>
            </w:pPr>
          </w:p>
        </w:tc>
        <w:tc>
          <w:tcPr>
            <w:tcW w:w="1754"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c>
          <w:tcPr>
            <w:tcW w:w="1476"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8</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生产安全事故应急演练</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9</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生物安全事故应急演练</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10</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突发环境事件应急演练</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c>
          <w:tcPr>
            <w:tcW w:w="1476"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11</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线上或线下安全培训</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164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754" w:type="dxa"/>
          </w:tcPr>
          <w:p>
            <w:pPr>
              <w:pStyle w:val="12"/>
              <w:adjustRightInd w:val="0"/>
              <w:snapToGrid w:val="0"/>
              <w:spacing w:beforeLines="25" w:afterLines="25"/>
              <w:rPr>
                <w:rFonts w:hint="default" w:ascii="Times New Roman" w:hAnsi="Times New Roman" w:eastAsia="方正黑体_GBK" w:cs="Times New Roman"/>
                <w:sz w:val="28"/>
                <w:szCs w:val="28"/>
              </w:rPr>
            </w:pPr>
          </w:p>
        </w:tc>
        <w:tc>
          <w:tcPr>
            <w:tcW w:w="1476" w:type="dxa"/>
          </w:tcPr>
          <w:p>
            <w:pPr>
              <w:pStyle w:val="12"/>
              <w:adjustRightInd w:val="0"/>
              <w:snapToGrid w:val="0"/>
              <w:spacing w:beforeLines="25" w:afterLines="25"/>
              <w:rPr>
                <w:rFonts w:hint="default" w:ascii="Times New Roman" w:hAnsi="Times New Roman" w:eastAsia="方正黑体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12</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风险辨识与分级管控</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c>
          <w:tcPr>
            <w:tcW w:w="1754"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c>
          <w:tcPr>
            <w:tcW w:w="1476" w:type="dxa"/>
          </w:tcPr>
          <w:p>
            <w:pPr>
              <w:pStyle w:val="12"/>
              <w:adjustRightInd w:val="0"/>
              <w:snapToGrid w:val="0"/>
              <w:spacing w:beforeLines="25" w:afterLines="25"/>
              <w:rPr>
                <w:rFonts w:hint="default" w:ascii="Times New Roman" w:hAnsi="Times New Roman" w:cs="Times New Roman"/>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13</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隐患排查与治理</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4</w:t>
            </w:r>
          </w:p>
        </w:tc>
        <w:tc>
          <w:tcPr>
            <w:tcW w:w="164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75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476" w:type="dxa"/>
          </w:tcPr>
          <w:p>
            <w:pPr>
              <w:pStyle w:val="12"/>
              <w:adjustRightInd w:val="0"/>
              <w:snapToGrid w:val="0"/>
              <w:spacing w:beforeLines="25" w:afterLines="25"/>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14</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安全检查整改</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次</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2</w:t>
            </w:r>
          </w:p>
        </w:tc>
        <w:tc>
          <w:tcPr>
            <w:tcW w:w="164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75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476" w:type="dxa"/>
          </w:tcPr>
          <w:p>
            <w:pPr>
              <w:pStyle w:val="12"/>
              <w:adjustRightInd w:val="0"/>
              <w:snapToGrid w:val="0"/>
              <w:spacing w:beforeLines="25" w:afterLines="25"/>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15</w:t>
            </w:r>
          </w:p>
        </w:tc>
        <w:tc>
          <w:tcPr>
            <w:tcW w:w="2319"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宣传册内容</w:t>
            </w:r>
          </w:p>
        </w:tc>
        <w:tc>
          <w:tcPr>
            <w:tcW w:w="824" w:type="dxa"/>
          </w:tcPr>
          <w:p>
            <w:pPr>
              <w:pStyle w:val="12"/>
              <w:adjustRightInd w:val="0"/>
              <w:snapToGrid w:val="0"/>
              <w:spacing w:beforeLines="25" w:afterLines="25"/>
              <w:jc w:val="center"/>
              <w:rPr>
                <w:rFonts w:hint="default" w:ascii="Times New Roman" w:hAnsi="Times New Roman" w:eastAsia="方正仿宋_GBK" w:cs="Times New Roman"/>
                <w:kern w:val="2"/>
                <w:sz w:val="21"/>
                <w:szCs w:val="21"/>
                <w:lang w:bidi="ne-NP"/>
              </w:rPr>
            </w:pPr>
            <w:r>
              <w:rPr>
                <w:rFonts w:hint="default" w:ascii="Times New Roman" w:hAnsi="Times New Roman" w:eastAsia="方正仿宋_GBK" w:cs="Times New Roman"/>
                <w:kern w:val="2"/>
                <w:sz w:val="21"/>
                <w:szCs w:val="21"/>
                <w:lang w:bidi="ne-NP"/>
              </w:rPr>
              <w:t>套</w:t>
            </w:r>
          </w:p>
        </w:tc>
        <w:tc>
          <w:tcPr>
            <w:tcW w:w="893" w:type="dxa"/>
          </w:tcPr>
          <w:p>
            <w:pPr>
              <w:pStyle w:val="12"/>
              <w:adjustRightInd w:val="0"/>
              <w:snapToGrid w:val="0"/>
              <w:spacing w:beforeLines="25" w:afterLines="25"/>
              <w:jc w:val="center"/>
              <w:rPr>
                <w:rFonts w:hint="default" w:ascii="Times New Roman" w:hAnsi="Times New Roman" w:eastAsia="方正黑体_GBK" w:cs="Times New Roman"/>
                <w:sz w:val="21"/>
                <w:szCs w:val="21"/>
              </w:rPr>
            </w:pPr>
            <w:r>
              <w:rPr>
                <w:rFonts w:hint="default" w:ascii="Times New Roman" w:hAnsi="Times New Roman" w:eastAsia="方正黑体_GBK" w:cs="Times New Roman"/>
                <w:sz w:val="21"/>
                <w:szCs w:val="21"/>
              </w:rPr>
              <w:t>1</w:t>
            </w:r>
          </w:p>
        </w:tc>
        <w:tc>
          <w:tcPr>
            <w:tcW w:w="164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754" w:type="dxa"/>
          </w:tcPr>
          <w:p>
            <w:pPr>
              <w:pStyle w:val="12"/>
              <w:adjustRightInd w:val="0"/>
              <w:snapToGrid w:val="0"/>
              <w:spacing w:beforeLines="25" w:afterLines="25"/>
              <w:rPr>
                <w:rFonts w:hint="default" w:ascii="Times New Roman" w:hAnsi="Times New Roman" w:eastAsia="方正仿宋_GBK" w:cs="Times New Roman"/>
                <w:color w:val="000000"/>
              </w:rPr>
            </w:pPr>
          </w:p>
        </w:tc>
        <w:tc>
          <w:tcPr>
            <w:tcW w:w="1476" w:type="dxa"/>
          </w:tcPr>
          <w:p>
            <w:pPr>
              <w:pStyle w:val="12"/>
              <w:adjustRightInd w:val="0"/>
              <w:snapToGrid w:val="0"/>
              <w:spacing w:beforeLines="25" w:afterLines="25"/>
              <w:rPr>
                <w:rFonts w:hint="default" w:ascii="Times New Roman" w:hAnsi="Times New Roman" w:eastAsia="方正仿宋_GBK"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12"/>
              <w:spacing w:line="400" w:lineRule="exact"/>
              <w:jc w:val="center"/>
              <w:rPr>
                <w:rFonts w:hint="default" w:ascii="Times New Roman" w:hAnsi="Times New Roman" w:eastAsia="方正黑体_GBK" w:cs="Times New Roman"/>
                <w:sz w:val="28"/>
                <w:szCs w:val="28"/>
              </w:rPr>
            </w:pPr>
          </w:p>
        </w:tc>
        <w:tc>
          <w:tcPr>
            <w:tcW w:w="2319" w:type="dxa"/>
          </w:tcPr>
          <w:p>
            <w:pPr>
              <w:pStyle w:val="12"/>
              <w:spacing w:line="400" w:lineRule="exact"/>
              <w:jc w:val="center"/>
              <w:rPr>
                <w:rFonts w:hint="default" w:ascii="Times New Roman" w:hAnsi="Times New Roman" w:eastAsia="方正仿宋_GBK" w:cs="Times New Roman"/>
                <w:kern w:val="2"/>
                <w:sz w:val="21"/>
                <w:szCs w:val="21"/>
                <w:lang w:bidi="ne-NP"/>
              </w:rPr>
            </w:pPr>
          </w:p>
        </w:tc>
        <w:tc>
          <w:tcPr>
            <w:tcW w:w="824" w:type="dxa"/>
          </w:tcPr>
          <w:p>
            <w:pPr>
              <w:pStyle w:val="12"/>
              <w:spacing w:line="400" w:lineRule="exact"/>
              <w:jc w:val="center"/>
              <w:rPr>
                <w:rFonts w:hint="default" w:ascii="Times New Roman" w:hAnsi="Times New Roman" w:eastAsia="方正仿宋_GBK" w:cs="Times New Roman"/>
                <w:kern w:val="2"/>
                <w:sz w:val="21"/>
                <w:szCs w:val="21"/>
                <w:lang w:bidi="ne-NP"/>
              </w:rPr>
            </w:pPr>
          </w:p>
        </w:tc>
        <w:tc>
          <w:tcPr>
            <w:tcW w:w="893" w:type="dxa"/>
          </w:tcPr>
          <w:p>
            <w:pPr>
              <w:pStyle w:val="12"/>
              <w:spacing w:line="400" w:lineRule="exact"/>
              <w:jc w:val="center"/>
              <w:rPr>
                <w:rFonts w:hint="default" w:ascii="Times New Roman" w:hAnsi="Times New Roman" w:eastAsia="方正仿宋_GBK" w:cs="Times New Roman"/>
                <w:color w:val="000000"/>
              </w:rPr>
            </w:pPr>
          </w:p>
        </w:tc>
        <w:tc>
          <w:tcPr>
            <w:tcW w:w="1644" w:type="dxa"/>
          </w:tcPr>
          <w:p>
            <w:pPr>
              <w:pStyle w:val="12"/>
              <w:spacing w:line="400" w:lineRule="exact"/>
              <w:rPr>
                <w:rFonts w:hint="default" w:ascii="Times New Roman" w:hAnsi="Times New Roman" w:eastAsia="方正仿宋_GBK" w:cs="Times New Roman"/>
                <w:color w:val="000000"/>
              </w:rPr>
            </w:pPr>
            <w:r>
              <w:rPr>
                <w:rFonts w:hint="default" w:ascii="Times New Roman" w:hAnsi="Times New Roman" w:eastAsia="方正仿宋_GBK" w:cs="Times New Roman"/>
                <w:kern w:val="2"/>
                <w:sz w:val="21"/>
                <w:szCs w:val="21"/>
                <w:lang w:bidi="ne-NP"/>
              </w:rPr>
              <w:t>比选申请人总报价（元）</w:t>
            </w:r>
          </w:p>
        </w:tc>
        <w:tc>
          <w:tcPr>
            <w:tcW w:w="1754" w:type="dxa"/>
          </w:tcPr>
          <w:p>
            <w:pPr>
              <w:pStyle w:val="12"/>
              <w:spacing w:line="400" w:lineRule="exact"/>
              <w:rPr>
                <w:rFonts w:hint="default" w:ascii="Times New Roman" w:hAnsi="Times New Roman" w:eastAsia="方正仿宋_GBK" w:cs="Times New Roman"/>
                <w:color w:val="000000"/>
              </w:rPr>
            </w:pPr>
          </w:p>
        </w:tc>
        <w:tc>
          <w:tcPr>
            <w:tcW w:w="1476" w:type="dxa"/>
          </w:tcPr>
          <w:p>
            <w:pPr>
              <w:pStyle w:val="12"/>
              <w:spacing w:line="400" w:lineRule="exact"/>
              <w:rPr>
                <w:rFonts w:hint="default" w:ascii="Times New Roman" w:hAnsi="Times New Roman" w:eastAsia="方正仿宋_GBK" w:cs="Times New Roman"/>
                <w:color w:val="000000"/>
              </w:rPr>
            </w:pPr>
          </w:p>
        </w:tc>
      </w:tr>
    </w:tbl>
    <w:p>
      <w:pPr>
        <w:pStyle w:val="2"/>
        <w:rPr>
          <w:rFonts w:ascii="Times New Roman" w:hAnsi="Times New Roman"/>
        </w:rPr>
      </w:pPr>
    </w:p>
    <w:p>
      <w:pPr>
        <w:rPr>
          <w:rFonts w:ascii="Times New Roman" w:hAnsi="Times New Roman" w:eastAsia="方正仿宋_GBK" w:cs="Times New Roman"/>
          <w:sz w:val="24"/>
          <w:szCs w:val="24"/>
        </w:rPr>
      </w:pPr>
    </w:p>
    <w:p>
      <w:pPr>
        <w:snapToGrid w:val="0"/>
        <w:spacing w:line="360" w:lineRule="auto"/>
        <w:rPr>
          <w:rFonts w:ascii="Times New Roman" w:hAnsi="Times New Roman" w:eastAsia="方正仿宋_GBK" w:cs="Times New Roman"/>
          <w:sz w:val="24"/>
          <w:szCs w:val="24"/>
          <w:bdr w:val="single" w:color="auto" w:sz="4" w:space="0"/>
        </w:rPr>
        <w:sectPr>
          <w:headerReference r:id="rId15" w:type="default"/>
          <w:pgSz w:w="11907" w:h="16840"/>
          <w:pgMar w:top="1134" w:right="1191" w:bottom="1134" w:left="1304" w:header="851" w:footer="992" w:gutter="0"/>
          <w:pgNumType w:fmt="numberInDash"/>
          <w:cols w:space="720" w:num="1"/>
          <w:docGrid w:linePitch="380" w:charSpace="-5735"/>
        </w:sectPr>
      </w:pPr>
    </w:p>
    <w:p>
      <w:pPr>
        <w:pStyle w:val="5"/>
        <w:adjustRightInd w:val="0"/>
        <w:snapToGrid w:val="0"/>
        <w:spacing w:before="0" w:after="0" w:line="400" w:lineRule="exact"/>
        <w:ind w:firstLine="482" w:firstLineChars="200"/>
        <w:rPr>
          <w:rFonts w:ascii="Times New Roman" w:hAnsi="Times New Roman" w:eastAsia="方正仿宋_GBK" w:cs="Times New Roman"/>
          <w:sz w:val="24"/>
        </w:rPr>
      </w:pPr>
      <w:bookmarkStart w:id="175" w:name="_Toc313008358"/>
      <w:bookmarkStart w:id="176" w:name="_Toc342913421"/>
      <w:bookmarkStart w:id="177" w:name="_Toc313888362"/>
      <w:bookmarkStart w:id="178" w:name="_Toc19562"/>
      <w:bookmarkStart w:id="179" w:name="_Toc11145"/>
      <w:bookmarkStart w:id="180" w:name="_Toc3648"/>
      <w:bookmarkStart w:id="181" w:name="_Toc8370"/>
      <w:r>
        <w:rPr>
          <w:rFonts w:ascii="Times New Roman" w:hAnsi="Times New Roman" w:eastAsia="方正仿宋_GBK" w:cs="Times New Roman"/>
          <w:sz w:val="24"/>
        </w:rPr>
        <w:t>二、</w:t>
      </w:r>
      <w:bookmarkEnd w:id="175"/>
      <w:bookmarkEnd w:id="176"/>
      <w:bookmarkEnd w:id="177"/>
      <w:r>
        <w:rPr>
          <w:rFonts w:ascii="Times New Roman" w:hAnsi="Times New Roman" w:eastAsia="方正仿宋_GBK" w:cs="Times New Roman"/>
          <w:sz w:val="24"/>
        </w:rPr>
        <w:t>资格条件及其他</w:t>
      </w:r>
      <w:bookmarkEnd w:id="178"/>
      <w:bookmarkEnd w:id="179"/>
      <w:bookmarkEnd w:id="180"/>
      <w:bookmarkEnd w:id="181"/>
      <w:bookmarkStart w:id="182" w:name="_Toc313888363"/>
      <w:bookmarkStart w:id="183" w:name="_Toc342913422"/>
      <w:bookmarkStart w:id="184" w:name="_Toc313008359"/>
    </w:p>
    <w:p>
      <w:pPr>
        <w:spacing w:line="400" w:lineRule="exact"/>
        <w:ind w:firstLine="480"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Times New Roman" w:hAnsi="Times New Roman" w:eastAsia="方正仿宋_GBK" w:cs="Times New Roman"/>
          <w:sz w:val="24"/>
          <w:szCs w:val="24"/>
        </w:rPr>
      </w:pPr>
    </w:p>
    <w:p>
      <w:pPr>
        <w:tabs>
          <w:tab w:val="left" w:pos="6300"/>
        </w:tabs>
        <w:snapToGrid w:val="0"/>
        <w:spacing w:line="500" w:lineRule="exact"/>
        <w:ind w:firstLine="570"/>
        <w:rPr>
          <w:rFonts w:ascii="Times New Roman" w:hAnsi="Times New Roman" w:eastAsia="方正仿宋_GBK" w:cs="Times New Roman"/>
        </w:rPr>
      </w:pPr>
    </w:p>
    <w:p>
      <w:pPr>
        <w:tabs>
          <w:tab w:val="left" w:pos="6300"/>
        </w:tabs>
        <w:snapToGrid w:val="0"/>
        <w:spacing w:line="500" w:lineRule="exact"/>
        <w:ind w:firstLine="570"/>
        <w:rPr>
          <w:rFonts w:ascii="Times New Roman" w:hAnsi="Times New Roman" w:eastAsia="方正仿宋_GBK" w:cs="Times New Roman"/>
        </w:rPr>
      </w:pPr>
    </w:p>
    <w:p>
      <w:pPr>
        <w:tabs>
          <w:tab w:val="left" w:pos="6300"/>
        </w:tabs>
        <w:snapToGrid w:val="0"/>
        <w:spacing w:line="500" w:lineRule="exact"/>
        <w:ind w:firstLine="570"/>
        <w:rPr>
          <w:rFonts w:ascii="Times New Roman" w:hAnsi="Times New Roman" w:eastAsia="方正仿宋_GBK" w:cs="Times New Roman"/>
        </w:rPr>
      </w:pPr>
    </w:p>
    <w:p>
      <w:pPr>
        <w:tabs>
          <w:tab w:val="left" w:pos="6300"/>
        </w:tabs>
        <w:snapToGrid w:val="0"/>
        <w:spacing w:line="500" w:lineRule="exact"/>
        <w:ind w:firstLine="570"/>
        <w:rPr>
          <w:rFonts w:ascii="Times New Roman" w:hAnsi="Times New Roman" w:eastAsia="方正仿宋_GBK" w:cs="Times New Roman"/>
        </w:rPr>
      </w:pPr>
    </w:p>
    <w:p>
      <w:pPr>
        <w:widowControl/>
        <w:spacing w:line="400" w:lineRule="exact"/>
        <w:ind w:firstLine="420" w:firstLineChars="200"/>
        <w:jc w:val="center"/>
        <w:outlineLvl w:val="1"/>
        <w:rPr>
          <w:rFonts w:ascii="Times New Roman" w:hAnsi="Times New Roman" w:eastAsia="方正仿宋_GBK" w:cs="Times New Roman"/>
          <w:sz w:val="24"/>
          <w:szCs w:val="24"/>
        </w:rPr>
      </w:pPr>
      <w:r>
        <w:rPr>
          <w:rFonts w:ascii="Times New Roman" w:hAnsi="Times New Roman" w:eastAsia="方正仿宋_GBK" w:cs="Times New Roman"/>
        </w:rPr>
        <w:br w:type="page"/>
      </w:r>
      <w:bookmarkStart w:id="185" w:name="_Toc12214"/>
      <w:bookmarkStart w:id="186" w:name="_Toc16023"/>
      <w:r>
        <w:rPr>
          <w:rFonts w:ascii="Times New Roman" w:hAnsi="Times New Roman" w:eastAsia="方正仿宋_GBK" w:cs="Times New Roman"/>
          <w:sz w:val="24"/>
          <w:szCs w:val="24"/>
        </w:rPr>
        <w:t>（二）法定代表人身份证明书（格式）</w:t>
      </w:r>
      <w:bookmarkEnd w:id="185"/>
      <w:bookmarkEnd w:id="186"/>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比选项目名称：</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rPr>
          <w:rFonts w:ascii="Times New Roman" w:hAnsi="Times New Roman" w:eastAsia="方正仿宋_GBK" w:cs="Times New Roman"/>
          <w:sz w:val="24"/>
        </w:rPr>
      </w:pPr>
      <w:r>
        <w:rPr>
          <w:rFonts w:ascii="Times New Roman" w:hAnsi="Times New Roman" w:eastAsia="方正仿宋_GBK" w:cs="Times New Roman"/>
          <w:sz w:val="24"/>
        </w:rPr>
        <w:t>致：（</w:t>
      </w:r>
      <w:r>
        <w:rPr>
          <w:rFonts w:ascii="Times New Roman" w:hAnsi="Times New Roman" w:eastAsia="方正仿宋_GBK" w:cs="Times New Roman"/>
          <w:sz w:val="24"/>
          <w:szCs w:val="24"/>
        </w:rPr>
        <w:t>采购人名称</w:t>
      </w:r>
      <w:r>
        <w:rPr>
          <w:rFonts w:ascii="Times New Roman" w:hAnsi="Times New Roman" w:eastAsia="方正仿宋_GBK" w:cs="Times New Roman"/>
          <w:sz w:val="24"/>
        </w:rPr>
        <w:t>）：</w:t>
      </w: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（法定代表人姓名）在（供应商名称）任（职务名称）职务，是（供应商名称）的法定代表人。</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特此证明。</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 xml:space="preserve">                                             （供应商公章）</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 xml:space="preserve">                                             年   月   日</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法定代表人电话：XXXXXXX      电子邮箱：XXXXXX@XXXXX（若授权他人办理并签署响应文件的可不填写）</w:t>
      </w: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widowControl/>
        <w:spacing w:line="400" w:lineRule="exact"/>
        <w:ind w:firstLine="420" w:firstLineChars="200"/>
        <w:jc w:val="center"/>
        <w:outlineLvl w:val="1"/>
        <w:rPr>
          <w:rFonts w:ascii="Times New Roman" w:hAnsi="Times New Roman" w:eastAsia="方正仿宋_GBK" w:cs="Times New Roman"/>
          <w:sz w:val="24"/>
          <w:szCs w:val="24"/>
        </w:rPr>
      </w:pPr>
      <w:bookmarkStart w:id="187" w:name="_Toc329"/>
      <w:bookmarkStart w:id="188" w:name="_Toc3036"/>
      <w:r>
        <w:rPr>
          <w:rFonts w:ascii="Times New Roman" w:hAnsi="Times New Roman" w:cs="Times New Roman"/>
        </w:rPr>
        <w:br w:type="column"/>
      </w:r>
      <w:r>
        <w:rPr>
          <w:rFonts w:ascii="Times New Roman" w:hAnsi="Times New Roman" w:eastAsia="方正仿宋_GBK" w:cs="Times New Roman"/>
          <w:sz w:val="24"/>
          <w:szCs w:val="24"/>
        </w:rPr>
        <w:t>（三）法定代表人授权委托书（格式）</w:t>
      </w:r>
      <w:bookmarkEnd w:id="187"/>
      <w:bookmarkEnd w:id="188"/>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szCs w:val="28"/>
        </w:rPr>
        <w:t>比选项目名称</w:t>
      </w:r>
      <w:r>
        <w:rPr>
          <w:rFonts w:ascii="Times New Roman" w:hAnsi="Times New Roman" w:eastAsia="方正仿宋_GBK" w:cs="Times New Roman"/>
          <w:sz w:val="24"/>
        </w:rPr>
        <w:t>：</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rPr>
          <w:rFonts w:ascii="Times New Roman" w:hAnsi="Times New Roman" w:eastAsia="方正仿宋_GBK" w:cs="Times New Roman"/>
          <w:sz w:val="24"/>
        </w:rPr>
      </w:pPr>
      <w:r>
        <w:rPr>
          <w:rFonts w:ascii="Times New Roman" w:hAnsi="Times New Roman" w:eastAsia="方正仿宋_GBK" w:cs="Times New Roman"/>
          <w:sz w:val="24"/>
        </w:rPr>
        <w:t>致：（</w:t>
      </w:r>
      <w:r>
        <w:rPr>
          <w:rFonts w:ascii="Times New Roman" w:hAnsi="Times New Roman" w:eastAsia="方正仿宋_GBK" w:cs="Times New Roman"/>
          <w:sz w:val="24"/>
          <w:szCs w:val="24"/>
        </w:rPr>
        <w:t>采购人名称</w:t>
      </w:r>
      <w:r>
        <w:rPr>
          <w:rFonts w:ascii="Times New Roman" w:hAnsi="Times New Roman" w:eastAsia="方正仿宋_GBK" w:cs="Times New Roman"/>
          <w:sz w:val="24"/>
        </w:rPr>
        <w:t>）：</w:t>
      </w: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（供应商法定代表人名称）是（供应商名称）的法定代表人，特授权（被授权人姓名及身份证代码）代表我单位全权办理上述项目的比选、签约等具体工作，并签署全部有关文件、协议及合同。</w:t>
      </w: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我单位对被授权人的</w:t>
      </w:r>
      <w:r>
        <w:rPr>
          <w:rFonts w:ascii="Times New Roman" w:hAnsi="Times New Roman" w:eastAsia="方正仿宋_GBK" w:cs="Times New Roman"/>
          <w:sz w:val="24"/>
          <w:szCs w:val="28"/>
        </w:rPr>
        <w:t>签署</w:t>
      </w:r>
      <w:r>
        <w:rPr>
          <w:rFonts w:ascii="Times New Roman" w:hAnsi="Times New Roman" w:eastAsia="方正仿宋_GBK" w:cs="Times New Roman"/>
          <w:sz w:val="24"/>
        </w:rPr>
        <w:t>负全部责任。</w:t>
      </w: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r>
        <w:rPr>
          <w:rFonts w:ascii="Times New Roman" w:hAnsi="Times New Roman" w:eastAsia="方正仿宋_GBK" w:cs="Times New Roman"/>
          <w:sz w:val="24"/>
        </w:rPr>
        <w:t>被授权人：                                 供应商法定代表人：</w:t>
      </w:r>
    </w:p>
    <w:p>
      <w:pPr>
        <w:tabs>
          <w:tab w:val="left" w:pos="6300"/>
        </w:tabs>
        <w:snapToGrid w:val="0"/>
        <w:spacing w:line="500" w:lineRule="exact"/>
        <w:ind w:firstLine="570"/>
        <w:rPr>
          <w:rFonts w:ascii="Times New Roman" w:hAnsi="Times New Roman" w:eastAsia="方正仿宋_GBK" w:cs="Times New Roman"/>
          <w:sz w:val="24"/>
          <w:szCs w:val="28"/>
        </w:rPr>
      </w:pPr>
      <w:r>
        <w:rPr>
          <w:rFonts w:ascii="Times New Roman" w:hAnsi="Times New Roman" w:eastAsia="方正仿宋_GBK" w:cs="Times New Roman"/>
          <w:sz w:val="24"/>
          <w:szCs w:val="28"/>
        </w:rPr>
        <w:t>（签署或盖章）                                （签署或盖章）</w:t>
      </w:r>
    </w:p>
    <w:p>
      <w:pPr>
        <w:tabs>
          <w:tab w:val="left" w:pos="6300"/>
        </w:tabs>
        <w:snapToGrid w:val="0"/>
        <w:spacing w:line="500" w:lineRule="exact"/>
        <w:ind w:firstLine="570"/>
        <w:rPr>
          <w:rFonts w:ascii="Times New Roman" w:hAnsi="Times New Roman" w:eastAsia="方正仿宋_GBK" w:cs="Times New Roman"/>
          <w:sz w:val="24"/>
          <w:szCs w:val="28"/>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outlineLvl w:val="2"/>
        <w:rPr>
          <w:rFonts w:ascii="Times New Roman" w:hAnsi="Times New Roman" w:eastAsia="方正仿宋_GBK" w:cs="Times New Roman"/>
          <w:sz w:val="24"/>
        </w:rPr>
      </w:pPr>
      <w:r>
        <w:rPr>
          <w:rFonts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right="480" w:firstLine="570"/>
        <w:jc w:val="right"/>
        <w:rPr>
          <w:rFonts w:ascii="Times New Roman" w:hAnsi="Times New Roman" w:eastAsia="方正仿宋_GBK" w:cs="Times New Roman"/>
          <w:sz w:val="24"/>
        </w:rPr>
      </w:pPr>
      <w:r>
        <w:rPr>
          <w:rFonts w:ascii="Times New Roman" w:hAnsi="Times New Roman" w:eastAsia="方正仿宋_GBK" w:cs="Times New Roman"/>
          <w:sz w:val="24"/>
        </w:rPr>
        <w:t>（供应商公章）</w:t>
      </w:r>
    </w:p>
    <w:p>
      <w:pPr>
        <w:tabs>
          <w:tab w:val="left" w:pos="6300"/>
        </w:tabs>
        <w:snapToGrid w:val="0"/>
        <w:spacing w:line="500" w:lineRule="exact"/>
        <w:ind w:right="480" w:firstLine="570"/>
        <w:jc w:val="right"/>
        <w:rPr>
          <w:rFonts w:ascii="Times New Roman" w:hAnsi="Times New Roman" w:eastAsia="方正仿宋_GBK" w:cs="Times New Roman"/>
          <w:sz w:val="24"/>
        </w:rPr>
      </w:pPr>
      <w:r>
        <w:rPr>
          <w:rFonts w:ascii="Times New Roman" w:hAnsi="Times New Roman" w:eastAsia="方正仿宋_GBK" w:cs="Times New Roman"/>
          <w:sz w:val="24"/>
        </w:rPr>
        <w:t>年   月   日</w:t>
      </w:r>
    </w:p>
    <w:p>
      <w:pPr>
        <w:tabs>
          <w:tab w:val="left" w:pos="6300"/>
        </w:tabs>
        <w:snapToGrid w:val="0"/>
        <w:spacing w:line="500" w:lineRule="exact"/>
        <w:ind w:right="480" w:firstLine="570"/>
        <w:jc w:val="left"/>
        <w:rPr>
          <w:rFonts w:ascii="Times New Roman" w:hAnsi="Times New Roman" w:eastAsia="方正仿宋_GBK" w:cs="Times New Roman"/>
          <w:sz w:val="24"/>
        </w:rPr>
      </w:pPr>
      <w:r>
        <w:rPr>
          <w:rFonts w:ascii="Times New Roman" w:hAnsi="Times New Roman" w:eastAsia="方正仿宋_GBK" w:cs="Times New Roman"/>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Times New Roman" w:hAnsi="Times New Roman" w:eastAsia="方正仿宋_GBK" w:cs="Times New Roman"/>
          <w:sz w:val="24"/>
        </w:rPr>
      </w:pPr>
      <w:r>
        <w:rPr>
          <w:rFonts w:ascii="Times New Roman" w:hAnsi="Times New Roman" w:eastAsia="方正仿宋_GBK" w:cs="Times New Roman"/>
          <w:sz w:val="24"/>
        </w:rPr>
        <w:t>注：若为法定代表人办理并签署响应文件的，不提供此文件。</w:t>
      </w:r>
    </w:p>
    <w:p>
      <w:pPr>
        <w:widowControl/>
        <w:spacing w:line="400" w:lineRule="exact"/>
        <w:ind w:firstLine="420" w:firstLineChars="200"/>
        <w:jc w:val="left"/>
        <w:rPr>
          <w:rFonts w:ascii="Times New Roman" w:hAnsi="Times New Roman" w:eastAsia="方正仿宋_GBK" w:cs="Times New Roman"/>
          <w:sz w:val="24"/>
          <w:szCs w:val="24"/>
        </w:rPr>
      </w:pPr>
      <w:r>
        <w:rPr>
          <w:rFonts w:ascii="Times New Roman" w:hAnsi="Times New Roman" w:cs="Times New Roman"/>
        </w:rPr>
        <w:br w:type="column"/>
      </w:r>
      <w:r>
        <w:rPr>
          <w:rFonts w:ascii="Times New Roman" w:hAnsi="Times New Roman" w:eastAsia="方正仿宋_GBK" w:cs="Times New Roman"/>
          <w:sz w:val="24"/>
          <w:szCs w:val="24"/>
        </w:rPr>
        <w:t>（四）2020年度到2022年度财务状况报告（表）或其基本开户银行出具的资信证明复印件，本年度新成立或成立不满一年的组织和自然人无法提供财务状况报告（表）的，可提供银行出具的资信证明复印件。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jc w:val="center"/>
        <w:outlineLvl w:val="1"/>
        <w:rPr>
          <w:rFonts w:ascii="Times New Roman" w:hAnsi="Times New Roman" w:eastAsia="方正仿宋_GBK" w:cs="Times New Roman"/>
          <w:sz w:val="24"/>
          <w:szCs w:val="24"/>
        </w:rPr>
      </w:pPr>
      <w:r>
        <w:rPr>
          <w:rFonts w:ascii="Times New Roman" w:hAnsi="Times New Roman" w:eastAsia="方正仿宋_GBK" w:cs="Times New Roman"/>
        </w:rPr>
        <w:br w:type="page"/>
      </w:r>
      <w:bookmarkStart w:id="189" w:name="_Toc2607"/>
      <w:bookmarkStart w:id="190" w:name="_Toc17239"/>
      <w:r>
        <w:rPr>
          <w:rFonts w:ascii="Times New Roman" w:hAnsi="Times New Roman" w:eastAsia="方正仿宋_GBK" w:cs="Times New Roman"/>
          <w:sz w:val="24"/>
          <w:szCs w:val="24"/>
        </w:rPr>
        <w:t>（五）书面声明</w:t>
      </w:r>
      <w:bookmarkEnd w:id="189"/>
      <w:bookmarkEnd w:id="190"/>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szCs w:val="28"/>
        </w:rPr>
        <w:t>比选项目名称</w:t>
      </w:r>
      <w:r>
        <w:rPr>
          <w:rFonts w:ascii="Times New Roman" w:hAnsi="Times New Roman" w:eastAsia="方正仿宋_GBK" w:cs="Times New Roman"/>
          <w:sz w:val="24"/>
        </w:rPr>
        <w:t>：</w:t>
      </w: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rPr>
          <w:rFonts w:ascii="Times New Roman" w:hAnsi="Times New Roman" w:eastAsia="方正仿宋_GBK" w:cs="Times New Roman"/>
          <w:sz w:val="24"/>
        </w:rPr>
      </w:pPr>
      <w:r>
        <w:rPr>
          <w:rFonts w:ascii="Times New Roman" w:hAnsi="Times New Roman" w:eastAsia="方正仿宋_GBK" w:cs="Times New Roman"/>
          <w:sz w:val="24"/>
        </w:rPr>
        <w:t>致：（</w:t>
      </w:r>
      <w:r>
        <w:rPr>
          <w:rFonts w:ascii="Times New Roman" w:hAnsi="Times New Roman" w:eastAsia="方正仿宋_GBK" w:cs="Times New Roman"/>
          <w:sz w:val="24"/>
          <w:szCs w:val="24"/>
        </w:rPr>
        <w:t>采购人名称</w:t>
      </w:r>
      <w:r>
        <w:rPr>
          <w:rFonts w:ascii="Times New Roman" w:hAnsi="Times New Roman" w:eastAsia="方正仿宋_GBK" w:cs="Times New Roman"/>
          <w:sz w:val="24"/>
        </w:rPr>
        <w:t>）：</w:t>
      </w: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供应商资格条件。我方对以上声明负全部法律责任。</w:t>
      </w:r>
    </w:p>
    <w:p>
      <w:pPr>
        <w:tabs>
          <w:tab w:val="left" w:pos="6300"/>
        </w:tabs>
        <w:snapToGrid w:val="0"/>
        <w:spacing w:line="500" w:lineRule="exact"/>
        <w:ind w:firstLine="480" w:firstLineChars="200"/>
        <w:rPr>
          <w:rFonts w:ascii="Times New Roman" w:hAnsi="Times New Roman" w:eastAsia="方正仿宋_GBK" w:cs="Times New Roman"/>
          <w:sz w:val="24"/>
        </w:rPr>
      </w:pPr>
      <w:r>
        <w:rPr>
          <w:rFonts w:ascii="Times New Roman" w:hAnsi="Times New Roman" w:eastAsia="方正仿宋_GBK" w:cs="Times New Roman"/>
          <w:sz w:val="24"/>
        </w:rPr>
        <w:t>特此声明。</w:t>
      </w:r>
    </w:p>
    <w:p>
      <w:pPr>
        <w:tabs>
          <w:tab w:val="left" w:pos="6300"/>
        </w:tabs>
        <w:snapToGrid w:val="0"/>
        <w:spacing w:line="500" w:lineRule="exact"/>
        <w:ind w:firstLine="570"/>
        <w:rPr>
          <w:rFonts w:ascii="Times New Roman" w:hAnsi="Times New Roman" w:eastAsia="方正仿宋_GBK" w:cs="Times New Roman"/>
          <w:sz w:val="24"/>
        </w:rPr>
      </w:pPr>
    </w:p>
    <w:p>
      <w:pPr>
        <w:snapToGrid w:val="0"/>
        <w:spacing w:line="400" w:lineRule="exact"/>
        <w:ind w:firstLine="480" w:firstLineChars="200"/>
        <w:rPr>
          <w:rFonts w:ascii="Times New Roman" w:hAnsi="Times New Roman" w:eastAsia="方正仿宋_GBK" w:cs="Times New Roman"/>
          <w:sz w:val="24"/>
          <w:szCs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firstLine="570"/>
        <w:rPr>
          <w:rFonts w:ascii="Times New Roman" w:hAnsi="Times New Roman" w:eastAsia="方正仿宋_GBK" w:cs="Times New Roman"/>
          <w:sz w:val="24"/>
        </w:rPr>
      </w:pPr>
    </w:p>
    <w:p>
      <w:pPr>
        <w:tabs>
          <w:tab w:val="left" w:pos="6300"/>
        </w:tabs>
        <w:snapToGrid w:val="0"/>
        <w:spacing w:line="500" w:lineRule="exact"/>
        <w:ind w:right="424" w:firstLine="570"/>
        <w:jc w:val="right"/>
        <w:rPr>
          <w:rFonts w:ascii="Times New Roman" w:hAnsi="Times New Roman" w:eastAsia="方正仿宋_GBK" w:cs="Times New Roman"/>
          <w:sz w:val="24"/>
        </w:rPr>
      </w:pPr>
      <w:r>
        <w:rPr>
          <w:rFonts w:ascii="Times New Roman" w:hAnsi="Times New Roman" w:eastAsia="方正仿宋_GBK" w:cs="Times New Roman"/>
          <w:sz w:val="24"/>
        </w:rPr>
        <w:t>（供应商公章或自然人签署）</w:t>
      </w:r>
    </w:p>
    <w:p>
      <w:pPr>
        <w:tabs>
          <w:tab w:val="left" w:pos="6300"/>
        </w:tabs>
        <w:snapToGrid w:val="0"/>
        <w:spacing w:line="500" w:lineRule="exact"/>
        <w:ind w:right="480" w:firstLine="570"/>
        <w:jc w:val="right"/>
        <w:rPr>
          <w:rFonts w:ascii="Times New Roman" w:hAnsi="Times New Roman" w:eastAsia="方正仿宋_GBK" w:cs="Times New Roman"/>
          <w:sz w:val="24"/>
        </w:rPr>
      </w:pPr>
      <w:r>
        <w:rPr>
          <w:rFonts w:ascii="Times New Roman" w:hAnsi="Times New Roman" w:eastAsia="方正仿宋_GBK" w:cs="Times New Roman"/>
          <w:sz w:val="24"/>
        </w:rPr>
        <w:t>年   月   日</w:t>
      </w:r>
    </w:p>
    <w:p>
      <w:pPr>
        <w:widowControl/>
        <w:spacing w:line="400" w:lineRule="exact"/>
        <w:ind w:firstLine="420" w:firstLineChars="200"/>
        <w:jc w:val="left"/>
        <w:outlineLvl w:val="1"/>
        <w:rPr>
          <w:rFonts w:ascii="Times New Roman" w:hAnsi="Times New Roman" w:eastAsia="方正仿宋_GBK" w:cs="Times New Roman"/>
          <w:sz w:val="24"/>
          <w:szCs w:val="24"/>
        </w:rPr>
      </w:pPr>
      <w:r>
        <w:rPr>
          <w:rFonts w:ascii="Times New Roman" w:hAnsi="Times New Roman" w:cs="Times New Roman"/>
        </w:rPr>
        <w:br w:type="page"/>
      </w:r>
      <w:bookmarkStart w:id="191" w:name="_Toc12419"/>
      <w:bookmarkStart w:id="192" w:name="_Toc7499"/>
      <w:r>
        <w:rPr>
          <w:rFonts w:ascii="Times New Roman" w:hAnsi="Times New Roman" w:eastAsia="方正仿宋_GBK" w:cs="Times New Roman"/>
          <w:sz w:val="24"/>
          <w:szCs w:val="24"/>
        </w:rPr>
        <w:t>（六）税务登记证（副本）复印件和社会保险缴纳证明材料</w:t>
      </w:r>
      <w:bookmarkEnd w:id="191"/>
      <w:bookmarkEnd w:id="192"/>
    </w:p>
    <w:p>
      <w:pPr>
        <w:widowControl/>
        <w:spacing w:line="400" w:lineRule="exact"/>
        <w:ind w:firstLine="480" w:firstLineChars="2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widowControl/>
        <w:spacing w:line="400" w:lineRule="exact"/>
        <w:ind w:firstLine="480" w:firstLineChars="200"/>
        <w:jc w:val="left"/>
        <w:outlineLvl w:val="1"/>
        <w:rPr>
          <w:rFonts w:ascii="Times New Roman" w:hAnsi="Times New Roman" w:eastAsia="方正仿宋_GBK" w:cs="Times New Roman"/>
          <w:sz w:val="24"/>
          <w:szCs w:val="24"/>
        </w:rPr>
      </w:pPr>
      <w:bookmarkStart w:id="193" w:name="_Toc7824"/>
      <w:bookmarkStart w:id="194" w:name="_Toc8648"/>
      <w:r>
        <w:rPr>
          <w:rFonts w:ascii="Times New Roman" w:hAnsi="Times New Roman" w:eastAsia="方正仿宋_GBK" w:cs="Times New Roman"/>
          <w:sz w:val="24"/>
          <w:szCs w:val="24"/>
        </w:rPr>
        <w:t>（七）特定资格条件证书或证明文件</w:t>
      </w:r>
      <w:bookmarkEnd w:id="193"/>
      <w:bookmarkEnd w:id="194"/>
    </w:p>
    <w:p>
      <w:pPr>
        <w:widowControl/>
        <w:spacing w:line="400" w:lineRule="exact"/>
        <w:ind w:firstLine="480" w:firstLineChars="200"/>
        <w:jc w:val="left"/>
        <w:rPr>
          <w:rFonts w:ascii="Times New Roman" w:hAnsi="Times New Roman" w:eastAsia="方正仿宋_GBK" w:cs="Times New Roman"/>
          <w:sz w:val="24"/>
          <w:szCs w:val="24"/>
        </w:rPr>
      </w:pPr>
    </w:p>
    <w:p>
      <w:pPr>
        <w:widowControl/>
        <w:spacing w:line="400" w:lineRule="exact"/>
        <w:ind w:firstLine="480" w:firstLineChars="200"/>
        <w:jc w:val="left"/>
        <w:rPr>
          <w:rFonts w:ascii="Times New Roman" w:hAnsi="Times New Roman" w:eastAsia="方正仿宋_GBK" w:cs="Times New Roman"/>
          <w:sz w:val="24"/>
          <w:szCs w:val="24"/>
        </w:rPr>
      </w:pPr>
      <w:r>
        <w:rPr>
          <w:rFonts w:ascii="Times New Roman" w:hAnsi="Times New Roman" w:eastAsia="方正仿宋_GBK" w:cs="Times New Roman"/>
          <w:sz w:val="24"/>
          <w:szCs w:val="24"/>
        </w:rPr>
        <w:t>说明：供应商按“多证合一”登记制度办理营业执照的，税务登记证（副本）和社会保险登记证以供应商所提供的营业执照（副本）复印件为准。</w:t>
      </w:r>
    </w:p>
    <w:p>
      <w:pPr>
        <w:pStyle w:val="5"/>
        <w:adjustRightInd w:val="0"/>
        <w:snapToGrid w:val="0"/>
        <w:spacing w:before="0" w:after="0" w:line="400" w:lineRule="exact"/>
        <w:ind w:firstLine="482" w:firstLineChars="200"/>
        <w:rPr>
          <w:rFonts w:ascii="Times New Roman" w:hAnsi="Times New Roman" w:cs="Times New Roman"/>
        </w:rPr>
      </w:pPr>
      <w:r>
        <w:rPr>
          <w:rFonts w:ascii="Times New Roman" w:hAnsi="Times New Roman" w:eastAsia="方正仿宋_GBK" w:cs="Times New Roman"/>
          <w:sz w:val="24"/>
          <w:szCs w:val="24"/>
        </w:rPr>
        <w:br w:type="page"/>
      </w:r>
      <w:bookmarkStart w:id="195" w:name="_Toc5412"/>
      <w:bookmarkStart w:id="196" w:name="_Toc29835"/>
      <w:bookmarkStart w:id="197" w:name="_Toc8827"/>
      <w:bookmarkStart w:id="198" w:name="_Toc17716"/>
      <w:r>
        <w:rPr>
          <w:rFonts w:ascii="Times New Roman" w:hAnsi="Times New Roman" w:eastAsia="方正仿宋_GBK" w:cs="Times New Roman"/>
          <w:sz w:val="24"/>
        </w:rPr>
        <w:t>三、</w:t>
      </w:r>
      <w:bookmarkEnd w:id="182"/>
      <w:bookmarkEnd w:id="183"/>
      <w:bookmarkEnd w:id="184"/>
      <w:r>
        <w:rPr>
          <w:rFonts w:ascii="Times New Roman" w:hAnsi="Times New Roman" w:eastAsia="方正仿宋_GBK" w:cs="Times New Roman"/>
          <w:sz w:val="24"/>
        </w:rPr>
        <w:t>其他资料</w:t>
      </w:r>
      <w:bookmarkEnd w:id="195"/>
      <w:bookmarkEnd w:id="196"/>
      <w:bookmarkEnd w:id="197"/>
      <w:bookmarkEnd w:id="198"/>
    </w:p>
    <w:p>
      <w:pPr>
        <w:widowControl/>
        <w:spacing w:line="400" w:lineRule="exact"/>
        <w:ind w:firstLine="480" w:firstLineChars="200"/>
        <w:jc w:val="left"/>
        <w:outlineLvl w:val="1"/>
        <w:rPr>
          <w:rFonts w:ascii="Times New Roman" w:hAnsi="Times New Roman" w:eastAsia="方正仿宋_GBK" w:cs="Times New Roman"/>
          <w:sz w:val="24"/>
          <w:szCs w:val="24"/>
        </w:rPr>
      </w:pPr>
      <w:bookmarkStart w:id="199" w:name="_Toc20596"/>
      <w:bookmarkStart w:id="200" w:name="_Toc6391"/>
      <w:r>
        <w:rPr>
          <w:rFonts w:ascii="Times New Roman" w:hAnsi="Times New Roman" w:eastAsia="方正仿宋_GBK" w:cs="Times New Roman"/>
          <w:sz w:val="24"/>
          <w:szCs w:val="24"/>
        </w:rPr>
        <w:t>（一）其他与项目有关的资料（自附）</w:t>
      </w:r>
      <w:bookmarkEnd w:id="199"/>
      <w:bookmarkEnd w:id="200"/>
    </w:p>
    <w:p>
      <w:pPr>
        <w:spacing w:line="360" w:lineRule="auto"/>
        <w:ind w:firstLine="480" w:firstLineChars="200"/>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ind w:firstLine="480" w:firstLineChars="200"/>
        <w:jc w:val="center"/>
        <w:rPr>
          <w:rFonts w:ascii="Times New Roman" w:hAnsi="Times New Roman" w:eastAsia="方正仿宋_GBK" w:cs="Times New Roman"/>
          <w:sz w:val="24"/>
          <w:szCs w:val="24"/>
        </w:rPr>
      </w:pPr>
    </w:p>
    <w:p>
      <w:pPr>
        <w:spacing w:line="360" w:lineRule="auto"/>
        <w:jc w:val="both"/>
        <w:rPr>
          <w:rFonts w:ascii="Times New Roman" w:hAnsi="Times New Roman" w:eastAsia="方正仿宋_GBK" w:cs="Times New Roman"/>
        </w:rPr>
      </w:pPr>
    </w:p>
    <w:p>
      <w:pPr>
        <w:spacing w:line="360" w:lineRule="auto"/>
        <w:jc w:val="both"/>
        <w:rPr>
          <w:rFonts w:ascii="Times New Roman" w:hAnsi="Times New Roman" w:eastAsia="方正仿宋_GBK" w:cs="Times New Roman"/>
        </w:rPr>
      </w:pPr>
    </w:p>
    <w:p>
      <w:pPr>
        <w:spacing w:line="360" w:lineRule="auto"/>
        <w:jc w:val="center"/>
        <w:rPr>
          <w:lang w:val="zh-CN" w:eastAsia="zh-CN"/>
        </w:rPr>
      </w:pPr>
      <w:r>
        <w:rPr>
          <w:rFonts w:ascii="Times New Roman" w:hAnsi="Times New Roman" w:eastAsia="方正仿宋_GBK" w:cs="Times New Roman"/>
        </w:rPr>
        <w:t>（结束）</w:t>
      </w:r>
    </w:p>
    <w:sectPr>
      <w:pgSz w:w="11906" w:h="16838"/>
      <w:pgMar w:top="2098" w:right="1531" w:bottom="1418"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6"/>
        <w:rFonts w:ascii="宋体"/>
        <w:sz w:val="21"/>
        <w:szCs w:val="21"/>
      </w:rPr>
    </w:pPr>
    <w:r>
      <w:rPr>
        <w:rFonts w:ascii="宋体"/>
        <w:sz w:val="21"/>
        <w:szCs w:val="21"/>
      </w:rPr>
      <w:fldChar w:fldCharType="begin"/>
    </w:r>
    <w:r>
      <w:rPr>
        <w:rStyle w:val="16"/>
        <w:rFonts w:ascii="宋体"/>
        <w:sz w:val="21"/>
        <w:szCs w:val="21"/>
      </w:rPr>
      <w:instrText xml:space="preserve">PAGE  </w:instrText>
    </w:r>
    <w:r>
      <w:rPr>
        <w:rFonts w:ascii="宋体"/>
        <w:sz w:val="21"/>
        <w:szCs w:val="21"/>
      </w:rPr>
      <w:fldChar w:fldCharType="separate"/>
    </w:r>
    <w:r>
      <w:rPr>
        <w:rStyle w:val="16"/>
        <w:rFonts w:ascii="宋体"/>
        <w:sz w:val="21"/>
        <w:szCs w:val="21"/>
      </w:rPr>
      <w:t>- 4 -</w:t>
    </w:r>
    <w:r>
      <w:rPr>
        <w:rFonts w:ascii="宋体"/>
        <w:sz w:val="21"/>
        <w:szCs w:val="21"/>
      </w:rPr>
      <w:fldChar w:fldCharType="end"/>
    </w:r>
  </w:p>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p>
  <w:p>
    <w:pPr>
      <w:pStyle w:val="8"/>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6"/>
        <w:rFonts w:ascii="宋体" w:hAnsi="宋体"/>
        <w:sz w:val="21"/>
        <w:szCs w:val="21"/>
      </w:rPr>
      <w:instrText xml:space="preserve"> PAGE </w:instrText>
    </w:r>
    <w:r>
      <w:rPr>
        <w:rFonts w:ascii="宋体" w:hAnsi="宋体"/>
        <w:sz w:val="21"/>
        <w:szCs w:val="21"/>
      </w:rPr>
      <w:fldChar w:fldCharType="separate"/>
    </w:r>
    <w:r>
      <w:rPr>
        <w:rStyle w:val="16"/>
        <w:rFonts w:ascii="宋体" w:hAnsi="宋体"/>
        <w:sz w:val="21"/>
        <w:szCs w:val="21"/>
      </w:rPr>
      <w:t>26</w:t>
    </w:r>
    <w:r>
      <w:rPr>
        <w:rFonts w:ascii="宋体" w:hAnsi="宋体"/>
        <w:sz w:val="21"/>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10" w:firstLineChars="100"/>
      <w:jc w:val="both"/>
      <w:rPr>
        <w:rFonts w:ascii="方正仿宋_GBK" w:eastAsia="方正仿宋_GBK"/>
        <w:sz w:val="21"/>
        <w:szCs w:val="21"/>
      </w:rPr>
    </w:pPr>
    <w:r>
      <w:rPr>
        <w:rFonts w:hint="eastAsia" w:ascii="方正仿宋_GBK" w:eastAsia="方正仿宋_GBK"/>
        <w:sz w:val="21"/>
        <w:szCs w:val="21"/>
      </w:rPr>
      <w:t>金凤实验室                                                              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10" w:firstLineChars="100"/>
      <w:jc w:val="both"/>
      <w:rPr>
        <w:rFonts w:ascii="方正仿宋_GBK" w:eastAsia="方正仿宋_GBK"/>
        <w:sz w:val="21"/>
        <w:szCs w:val="21"/>
      </w:rPr>
    </w:pPr>
    <w:r>
      <w:rPr>
        <w:rFonts w:hint="eastAsia" w:ascii="方正仿宋_GBK" w:eastAsia="方正仿宋_GBK"/>
        <w:sz w:val="21"/>
        <w:szCs w:val="21"/>
      </w:rPr>
      <w:t>金凤实验室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10" w:firstLineChars="100"/>
      <w:jc w:val="both"/>
      <w:rPr>
        <w:rFonts w:ascii="方正仿宋_GBK" w:eastAsia="方正仿宋_GBK"/>
        <w:sz w:val="21"/>
        <w:szCs w:val="21"/>
      </w:rPr>
    </w:pPr>
    <w:r>
      <w:rPr>
        <w:rFonts w:hint="eastAsia" w:ascii="方正仿宋_GBK" w:eastAsia="方正仿宋_GBK"/>
        <w:sz w:val="21"/>
        <w:szCs w:val="21"/>
      </w:rPr>
      <w:t>金凤实验室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A2087"/>
    <w:multiLevelType w:val="singleLevel"/>
    <w:tmpl w:val="8E5A2087"/>
    <w:lvl w:ilvl="0" w:tentative="0">
      <w:start w:val="2"/>
      <w:numFmt w:val="chineseCounting"/>
      <w:suff w:val="nothing"/>
      <w:lvlText w:val="（%1）"/>
      <w:lvlJc w:val="left"/>
      <w:rPr>
        <w:rFonts w:hint="eastAsia"/>
      </w:rPr>
    </w:lvl>
  </w:abstractNum>
  <w:abstractNum w:abstractNumId="1">
    <w:nsid w:val="961A42A3"/>
    <w:multiLevelType w:val="singleLevel"/>
    <w:tmpl w:val="961A42A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ZTJkNzU2N2NhMGM1YmI5OTcxNWRkMzMwNGIwYWUifQ=="/>
  </w:docVars>
  <w:rsids>
    <w:rsidRoot w:val="005A6121"/>
    <w:rsid w:val="00052B48"/>
    <w:rsid w:val="00066F70"/>
    <w:rsid w:val="000B2035"/>
    <w:rsid w:val="000B3853"/>
    <w:rsid w:val="000F78FE"/>
    <w:rsid w:val="00192C85"/>
    <w:rsid w:val="00197D9B"/>
    <w:rsid w:val="001C4209"/>
    <w:rsid w:val="001C4730"/>
    <w:rsid w:val="001F074B"/>
    <w:rsid w:val="00216E1C"/>
    <w:rsid w:val="00217E9E"/>
    <w:rsid w:val="002262B1"/>
    <w:rsid w:val="00253324"/>
    <w:rsid w:val="002A1AE6"/>
    <w:rsid w:val="002D19F7"/>
    <w:rsid w:val="00304AED"/>
    <w:rsid w:val="00332097"/>
    <w:rsid w:val="00336680"/>
    <w:rsid w:val="003C2411"/>
    <w:rsid w:val="00406F09"/>
    <w:rsid w:val="004A469F"/>
    <w:rsid w:val="004D6528"/>
    <w:rsid w:val="004F7FAD"/>
    <w:rsid w:val="00531714"/>
    <w:rsid w:val="00535620"/>
    <w:rsid w:val="0057786F"/>
    <w:rsid w:val="005A6121"/>
    <w:rsid w:val="006B754C"/>
    <w:rsid w:val="006D72C6"/>
    <w:rsid w:val="00741ACA"/>
    <w:rsid w:val="00782C45"/>
    <w:rsid w:val="007C11FC"/>
    <w:rsid w:val="007C440F"/>
    <w:rsid w:val="00825754"/>
    <w:rsid w:val="00845FEC"/>
    <w:rsid w:val="00870A9D"/>
    <w:rsid w:val="008971C5"/>
    <w:rsid w:val="008E12E2"/>
    <w:rsid w:val="008F6842"/>
    <w:rsid w:val="00935B94"/>
    <w:rsid w:val="00950B20"/>
    <w:rsid w:val="009518F2"/>
    <w:rsid w:val="00970139"/>
    <w:rsid w:val="0097573F"/>
    <w:rsid w:val="00993FEB"/>
    <w:rsid w:val="00A10950"/>
    <w:rsid w:val="00A2382A"/>
    <w:rsid w:val="00A306FF"/>
    <w:rsid w:val="00A76E28"/>
    <w:rsid w:val="00A92F81"/>
    <w:rsid w:val="00AE1687"/>
    <w:rsid w:val="00B055FC"/>
    <w:rsid w:val="00B074C5"/>
    <w:rsid w:val="00B940F0"/>
    <w:rsid w:val="00C129A6"/>
    <w:rsid w:val="00C14B4C"/>
    <w:rsid w:val="00C31416"/>
    <w:rsid w:val="00C6194A"/>
    <w:rsid w:val="00C76A5F"/>
    <w:rsid w:val="00CB0F1E"/>
    <w:rsid w:val="00CF44F5"/>
    <w:rsid w:val="00DC6181"/>
    <w:rsid w:val="00DD5106"/>
    <w:rsid w:val="00E60644"/>
    <w:rsid w:val="00E83482"/>
    <w:rsid w:val="00EF2CF4"/>
    <w:rsid w:val="00F45321"/>
    <w:rsid w:val="00F764AF"/>
    <w:rsid w:val="00F97A69"/>
    <w:rsid w:val="00FB244D"/>
    <w:rsid w:val="00FF46DC"/>
    <w:rsid w:val="02547464"/>
    <w:rsid w:val="09CE7BB6"/>
    <w:rsid w:val="0AA92F77"/>
    <w:rsid w:val="0BC673C5"/>
    <w:rsid w:val="0D8C5212"/>
    <w:rsid w:val="0E7B5178"/>
    <w:rsid w:val="10D117C1"/>
    <w:rsid w:val="112F584B"/>
    <w:rsid w:val="1237408D"/>
    <w:rsid w:val="131A68B5"/>
    <w:rsid w:val="138A774A"/>
    <w:rsid w:val="15093C13"/>
    <w:rsid w:val="15AD4425"/>
    <w:rsid w:val="1B08269F"/>
    <w:rsid w:val="1D07074F"/>
    <w:rsid w:val="1D236479"/>
    <w:rsid w:val="1E7A085D"/>
    <w:rsid w:val="1F3A44AA"/>
    <w:rsid w:val="21045FFD"/>
    <w:rsid w:val="220B26C8"/>
    <w:rsid w:val="22710EEC"/>
    <w:rsid w:val="22C67FA6"/>
    <w:rsid w:val="2331661D"/>
    <w:rsid w:val="278306ED"/>
    <w:rsid w:val="2D3F0BF1"/>
    <w:rsid w:val="337258A2"/>
    <w:rsid w:val="34E61F00"/>
    <w:rsid w:val="359435CF"/>
    <w:rsid w:val="35FF348B"/>
    <w:rsid w:val="394D6AA5"/>
    <w:rsid w:val="3A1957FB"/>
    <w:rsid w:val="3C182B85"/>
    <w:rsid w:val="3C667AB1"/>
    <w:rsid w:val="3FE05ED2"/>
    <w:rsid w:val="46032B23"/>
    <w:rsid w:val="46494493"/>
    <w:rsid w:val="478F595A"/>
    <w:rsid w:val="49AE1C1B"/>
    <w:rsid w:val="4A4622B3"/>
    <w:rsid w:val="4A574C17"/>
    <w:rsid w:val="4AFA005B"/>
    <w:rsid w:val="4B0C40D4"/>
    <w:rsid w:val="4B4246F5"/>
    <w:rsid w:val="4BB854B7"/>
    <w:rsid w:val="518940EB"/>
    <w:rsid w:val="53477720"/>
    <w:rsid w:val="53C72F75"/>
    <w:rsid w:val="56CC6A7F"/>
    <w:rsid w:val="574E286D"/>
    <w:rsid w:val="5E0E55CB"/>
    <w:rsid w:val="5E6076B2"/>
    <w:rsid w:val="5E7D0185"/>
    <w:rsid w:val="609578C1"/>
    <w:rsid w:val="67BB6A17"/>
    <w:rsid w:val="67FC5FA2"/>
    <w:rsid w:val="6A083BE4"/>
    <w:rsid w:val="6EAC78F9"/>
    <w:rsid w:val="733862F7"/>
    <w:rsid w:val="76320E79"/>
    <w:rsid w:val="76F9085E"/>
    <w:rsid w:val="77262656"/>
    <w:rsid w:val="77F73DF3"/>
    <w:rsid w:val="79D74794"/>
    <w:rsid w:val="7B807F81"/>
    <w:rsid w:val="7D9121E7"/>
    <w:rsid w:val="7F114D1F"/>
    <w:rsid w:val="7F232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cs="Times New Roman"/>
      <w:sz w:val="32"/>
    </w:rPr>
  </w:style>
  <w:style w:type="paragraph" w:styleId="3">
    <w:name w:val="Body Text Indent"/>
    <w:basedOn w:val="1"/>
    <w:unhideWhenUsed/>
    <w:qFormat/>
    <w:uiPriority w:val="99"/>
    <w:pPr>
      <w:ind w:firstLine="200" w:firstLineChars="200"/>
    </w:pPr>
  </w:style>
  <w:style w:type="paragraph" w:styleId="6">
    <w:name w:val="Plain Text"/>
    <w:basedOn w:val="1"/>
    <w:qFormat/>
    <w:uiPriority w:val="0"/>
    <w:rPr>
      <w:rFonts w:ascii="宋体" w:hAnsi="Courier New" w:eastAsia="宋体"/>
      <w:szCs w:val="24"/>
    </w:rPr>
  </w:style>
  <w:style w:type="paragraph" w:styleId="7">
    <w:name w:val="Body Text Indent 2"/>
    <w:basedOn w:val="1"/>
    <w:qFormat/>
    <w:uiPriority w:val="0"/>
    <w:pPr>
      <w:snapToGrid w:val="0"/>
      <w:spacing w:line="560" w:lineRule="atLeast"/>
      <w:ind w:firstLine="540"/>
    </w:p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180" w:lineRule="auto"/>
      <w:jc w:val="center"/>
    </w:pPr>
    <w:rPr>
      <w:sz w:val="30"/>
    </w:rPr>
  </w:style>
  <w:style w:type="paragraph" w:styleId="11">
    <w:name w:val="toc 2"/>
    <w:basedOn w:val="1"/>
    <w:next w:val="1"/>
    <w:qFormat/>
    <w:uiPriority w:val="39"/>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宋体"/>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qFormat/>
    <w:uiPriority w:val="0"/>
  </w:style>
  <w:style w:type="paragraph" w:styleId="17">
    <w:name w:val="List Paragraph"/>
    <w:basedOn w:val="1"/>
    <w:qFormat/>
    <w:uiPriority w:val="34"/>
    <w:pPr>
      <w:ind w:firstLine="420" w:firstLineChars="200"/>
    </w:pPr>
  </w:style>
  <w:style w:type="character" w:customStyle="1" w:styleId="18">
    <w:name w:val="页眉 Char"/>
    <w:basedOn w:val="15"/>
    <w:link w:val="9"/>
    <w:semiHidden/>
    <w:qFormat/>
    <w:uiPriority w:val="99"/>
    <w:rPr>
      <w:sz w:val="18"/>
      <w:szCs w:val="18"/>
    </w:rPr>
  </w:style>
  <w:style w:type="character" w:customStyle="1" w:styleId="19">
    <w:name w:val="页脚 Char"/>
    <w:basedOn w:val="15"/>
    <w:link w:val="8"/>
    <w:qFormat/>
    <w:uiPriority w:val="99"/>
    <w:rPr>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user</Company>
  <Pages>25</Pages>
  <Words>10268</Words>
  <Characters>11209</Characters>
  <Lines>114</Lines>
  <Paragraphs>32</Paragraphs>
  <TotalTime>41</TotalTime>
  <ScaleCrop>false</ScaleCrop>
  <LinksUpToDate>false</LinksUpToDate>
  <CharactersWithSpaces>11677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2022-08-27T07:40:00Z</dcterms:created>
  <dc:creator>Sundy</dc:creator>
  <cp:lastModifiedBy>灿宝、气</cp:lastModifiedBy>
  <cp:lastPrinted>2021-04-23T02:58:00Z</cp:lastPrinted>
  <dcterms:modified xsi:type="dcterms:W3CDTF">2023-08-02T07:04:33Z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285887185_cloud</vt:lpwstr>
  </property>
  <property fmtid="{D5CDD505-2E9C-101B-9397-08002B2CF9AE}" pid="4" name="ICV">
    <vt:lpwstr>465C9F241EC1432EAAB5254B3F703B75_13</vt:lpwstr>
  </property>
</Properties>
</file>